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18" w:rsidRDefault="00263A18" w:rsidP="00263A18">
      <w:pPr>
        <w:pStyle w:val="GIPTitelniv1"/>
        <w:numPr>
          <w:ilvl w:val="0"/>
          <w:numId w:val="1"/>
        </w:numPr>
        <w:ind w:left="1134" w:hanging="1134"/>
        <w:jc w:val="both"/>
      </w:pPr>
      <w:bookmarkStart w:id="0" w:name="_Toc379030531"/>
      <w:r>
        <w:t>Toelichting jaarrekening</w:t>
      </w:r>
      <w:bookmarkEnd w:id="0"/>
    </w:p>
    <w:p w:rsidR="00263A18" w:rsidRDefault="00263A18" w:rsidP="00263A18">
      <w:pPr>
        <w:pStyle w:val="GIPTitelniv1"/>
        <w:ind w:left="585"/>
        <w:jc w:val="both"/>
      </w:pPr>
    </w:p>
    <w:p w:rsidR="00263A18" w:rsidRDefault="00263A18" w:rsidP="00263A18">
      <w:pPr>
        <w:pStyle w:val="GIPtitelNiv2"/>
        <w:numPr>
          <w:ilvl w:val="1"/>
          <w:numId w:val="1"/>
        </w:numPr>
        <w:ind w:left="1134" w:hanging="1134"/>
        <w:jc w:val="both"/>
      </w:pPr>
      <w:bookmarkStart w:id="1" w:name="_Toc379030532"/>
      <w:r>
        <w:t>Excel</w:t>
      </w:r>
      <w:bookmarkEnd w:id="1"/>
    </w:p>
    <w:p w:rsidR="00263A18" w:rsidRDefault="00263A18" w:rsidP="00263A18">
      <w:pPr>
        <w:pStyle w:val="GIPtitelNiv2"/>
        <w:ind w:left="720"/>
        <w:jc w:val="both"/>
      </w:pPr>
    </w:p>
    <w:p w:rsidR="00263A18" w:rsidRDefault="00263A18" w:rsidP="00263A18">
      <w:pPr>
        <w:pStyle w:val="GIPtitelNiv3"/>
        <w:numPr>
          <w:ilvl w:val="2"/>
          <w:numId w:val="1"/>
        </w:numPr>
        <w:ind w:left="1134" w:hanging="1134"/>
        <w:jc w:val="both"/>
      </w:pPr>
      <w:r>
        <w:rPr>
          <w:noProof/>
          <w:lang w:val="nl-BE" w:eastAsia="nl-BE"/>
        </w:rPr>
        <w:drawing>
          <wp:anchor distT="0" distB="0" distL="114300" distR="114300" simplePos="0" relativeHeight="251660288" behindDoc="0" locked="0" layoutInCell="1" allowOverlap="1">
            <wp:simplePos x="0" y="0"/>
            <wp:positionH relativeFrom="column">
              <wp:posOffset>-200660</wp:posOffset>
            </wp:positionH>
            <wp:positionV relativeFrom="paragraph">
              <wp:posOffset>422275</wp:posOffset>
            </wp:positionV>
            <wp:extent cx="6327140" cy="724725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7140" cy="7247255"/>
                    </a:xfrm>
                    <a:prstGeom prst="rect">
                      <a:avLst/>
                    </a:prstGeom>
                    <a:noFill/>
                  </pic:spPr>
                </pic:pic>
              </a:graphicData>
            </a:graphic>
          </wp:anchor>
        </w:drawing>
      </w:r>
      <w:bookmarkStart w:id="2" w:name="_Toc379030533"/>
      <w:r>
        <w:t>Activa</w:t>
      </w:r>
      <w:bookmarkEnd w:id="2"/>
    </w:p>
    <w:p w:rsidR="00263A18" w:rsidRDefault="00263A18" w:rsidP="00263A18">
      <w:pPr>
        <w:pStyle w:val="GIPtitelNiv3"/>
        <w:ind w:firstLine="1080"/>
        <w:jc w:val="both"/>
      </w:pPr>
    </w:p>
    <w:p w:rsidR="00263A18" w:rsidRDefault="00263A18" w:rsidP="00263A18">
      <w:pPr>
        <w:pStyle w:val="GIPtitelNiv3"/>
        <w:numPr>
          <w:ilvl w:val="2"/>
          <w:numId w:val="1"/>
        </w:numPr>
        <w:ind w:left="1134" w:hanging="1134"/>
        <w:jc w:val="both"/>
      </w:pPr>
      <w:r>
        <w:br w:type="page"/>
      </w:r>
      <w:r>
        <w:rPr>
          <w:noProof/>
          <w:lang w:val="nl-BE" w:eastAsia="nl-BE"/>
        </w:rPr>
        <w:lastRenderedPageBreak/>
        <w:drawing>
          <wp:anchor distT="0" distB="0" distL="114300" distR="114300" simplePos="0" relativeHeight="251659264" behindDoc="0" locked="0" layoutInCell="1" allowOverlap="0">
            <wp:simplePos x="0" y="0"/>
            <wp:positionH relativeFrom="column">
              <wp:posOffset>-172085</wp:posOffset>
            </wp:positionH>
            <wp:positionV relativeFrom="paragraph">
              <wp:posOffset>391795</wp:posOffset>
            </wp:positionV>
            <wp:extent cx="6377305" cy="8166735"/>
            <wp:effectExtent l="0" t="0" r="4445" b="5715"/>
            <wp:wrapTight wrapText="bothSides">
              <wp:wrapPolygon edited="0">
                <wp:start x="0" y="0"/>
                <wp:lineTo x="0" y="21565"/>
                <wp:lineTo x="20260" y="21565"/>
                <wp:lineTo x="21228" y="21514"/>
                <wp:lineTo x="21551" y="21363"/>
                <wp:lineTo x="21551" y="18743"/>
                <wp:lineTo x="21228" y="18542"/>
                <wp:lineTo x="21551" y="18340"/>
                <wp:lineTo x="21551" y="16325"/>
                <wp:lineTo x="20260" y="16123"/>
                <wp:lineTo x="21292" y="16123"/>
                <wp:lineTo x="21551" y="15972"/>
                <wp:lineTo x="21551" y="14763"/>
                <wp:lineTo x="21421" y="14712"/>
                <wp:lineTo x="20260" y="14511"/>
                <wp:lineTo x="21551" y="14410"/>
                <wp:lineTo x="21551" y="13906"/>
                <wp:lineTo x="20260" y="13705"/>
                <wp:lineTo x="21551" y="13604"/>
                <wp:lineTo x="21551" y="13100"/>
                <wp:lineTo x="20260" y="12899"/>
                <wp:lineTo x="21551" y="12798"/>
                <wp:lineTo x="21551" y="12294"/>
                <wp:lineTo x="20260" y="12092"/>
                <wp:lineTo x="21551" y="11992"/>
                <wp:lineTo x="21551" y="11538"/>
                <wp:lineTo x="20260" y="11286"/>
                <wp:lineTo x="21357" y="11286"/>
                <wp:lineTo x="21551" y="11185"/>
                <wp:lineTo x="21551" y="9976"/>
                <wp:lineTo x="21421" y="9875"/>
                <wp:lineTo x="20260" y="9674"/>
                <wp:lineTo x="21551" y="9624"/>
                <wp:lineTo x="21551" y="9120"/>
                <wp:lineTo x="20260" y="8868"/>
                <wp:lineTo x="21551" y="8817"/>
                <wp:lineTo x="21551" y="8314"/>
                <wp:lineTo x="20260" y="8062"/>
                <wp:lineTo x="21357" y="8062"/>
                <wp:lineTo x="21551" y="7961"/>
                <wp:lineTo x="21551" y="6802"/>
                <wp:lineTo x="21421" y="6701"/>
                <wp:lineTo x="20260" y="6449"/>
                <wp:lineTo x="21551" y="6449"/>
                <wp:lineTo x="21551" y="5945"/>
                <wp:lineTo x="20260" y="5643"/>
                <wp:lineTo x="21551" y="5643"/>
                <wp:lineTo x="21551" y="4333"/>
                <wp:lineTo x="20260" y="4031"/>
                <wp:lineTo x="21551" y="4031"/>
                <wp:lineTo x="21551" y="2721"/>
                <wp:lineTo x="20260" y="2418"/>
                <wp:lineTo x="21486" y="2418"/>
                <wp:lineTo x="21551" y="2368"/>
                <wp:lineTo x="21551" y="0"/>
                <wp:lineTo x="0" y="0"/>
              </wp:wrapPolygon>
            </wp:wrapTight>
            <wp:docPr id="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7305" cy="8166735"/>
                    </a:xfrm>
                    <a:prstGeom prst="rect">
                      <a:avLst/>
                    </a:prstGeom>
                    <a:noFill/>
                  </pic:spPr>
                </pic:pic>
              </a:graphicData>
            </a:graphic>
          </wp:anchor>
        </w:drawing>
      </w:r>
      <w:bookmarkStart w:id="3" w:name="_Toc379030534"/>
      <w:r>
        <w:rPr>
          <w:noProof/>
        </w:rPr>
        <w:t>Passiva</w:t>
      </w:r>
      <w:bookmarkEnd w:id="3"/>
    </w:p>
    <w:p w:rsidR="00263A18" w:rsidRDefault="00263A18" w:rsidP="00263A18">
      <w:pPr>
        <w:rPr>
          <w:rFonts w:ascii="Arial" w:hAnsi="Arial"/>
          <w:b/>
          <w:sz w:val="28"/>
        </w:rPr>
      </w:pPr>
      <w:r>
        <w:br w:type="page"/>
      </w:r>
    </w:p>
    <w:p w:rsidR="00263A18" w:rsidRDefault="00263A18" w:rsidP="00263A18">
      <w:pPr>
        <w:pStyle w:val="GIPtitelNiv3"/>
        <w:numPr>
          <w:ilvl w:val="2"/>
          <w:numId w:val="1"/>
        </w:numPr>
        <w:ind w:left="1134" w:hanging="1134"/>
        <w:jc w:val="both"/>
      </w:pPr>
      <w:bookmarkStart w:id="4" w:name="_Toc379030535"/>
      <w:r>
        <w:lastRenderedPageBreak/>
        <w:t>Resultatenrekening</w:t>
      </w:r>
      <w:bookmarkEnd w:id="4"/>
    </w:p>
    <w:p w:rsidR="00263A18" w:rsidRDefault="00263A18" w:rsidP="00263A18">
      <w:pPr>
        <w:pStyle w:val="GIPtitelNiv3"/>
        <w:ind w:left="1080"/>
        <w:jc w:val="both"/>
      </w:pPr>
    </w:p>
    <w:p w:rsidR="00263A18" w:rsidRDefault="00263A18" w:rsidP="00263A18">
      <w:pPr>
        <w:pStyle w:val="GIPstandaard"/>
      </w:pPr>
      <w:r>
        <w:rPr>
          <w:noProof/>
          <w:lang w:val="nl-BE" w:eastAsia="nl-BE"/>
        </w:rPr>
        <w:drawing>
          <wp:inline distT="0" distB="0" distL="0" distR="0">
            <wp:extent cx="6191250" cy="8448675"/>
            <wp:effectExtent l="0" t="0" r="0" b="9525"/>
            <wp:docPr id="6" name="Objec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8448675"/>
                    </a:xfrm>
                    <a:prstGeom prst="rect">
                      <a:avLst/>
                    </a:prstGeom>
                    <a:noFill/>
                    <a:ln>
                      <a:noFill/>
                    </a:ln>
                  </pic:spPr>
                </pic:pic>
              </a:graphicData>
            </a:graphic>
          </wp:inline>
        </w:drawing>
      </w:r>
    </w:p>
    <w:p w:rsidR="00263A18" w:rsidRDefault="00263A18" w:rsidP="00263A18">
      <w:pPr>
        <w:pStyle w:val="GIPstandaard"/>
      </w:pPr>
    </w:p>
    <w:p w:rsidR="00263A18" w:rsidRDefault="00263A18" w:rsidP="00263A18">
      <w:pPr>
        <w:pStyle w:val="GIPtitelNiv3"/>
        <w:numPr>
          <w:ilvl w:val="2"/>
          <w:numId w:val="1"/>
        </w:numPr>
        <w:ind w:left="1134" w:hanging="1134"/>
        <w:jc w:val="both"/>
      </w:pPr>
      <w:bookmarkStart w:id="5" w:name="_Toc379030536"/>
      <w:proofErr w:type="spellStart"/>
      <w:r>
        <w:t>Ratio’s</w:t>
      </w:r>
      <w:bookmarkEnd w:id="5"/>
      <w:proofErr w:type="spellEnd"/>
    </w:p>
    <w:p w:rsidR="00263A18" w:rsidRDefault="00263A18" w:rsidP="00263A18">
      <w:pPr>
        <w:pStyle w:val="GIPtitelNiv3"/>
        <w:ind w:left="1080"/>
        <w:jc w:val="both"/>
      </w:pPr>
    </w:p>
    <w:p w:rsidR="00263A18" w:rsidRDefault="00263A18" w:rsidP="00263A18">
      <w:pPr>
        <w:pStyle w:val="GIPtitelNiv3"/>
        <w:ind w:left="1080"/>
        <w:jc w:val="both"/>
      </w:pPr>
      <w:r>
        <w:rPr>
          <w:noProof/>
          <w:lang w:val="nl-BE" w:eastAsia="nl-BE"/>
        </w:rPr>
        <w:drawing>
          <wp:anchor distT="0" distB="0" distL="114300" distR="114300" simplePos="0" relativeHeight="251661312" behindDoc="0" locked="0" layoutInCell="1" allowOverlap="0">
            <wp:simplePos x="0" y="0"/>
            <wp:positionH relativeFrom="column">
              <wp:posOffset>182880</wp:posOffset>
            </wp:positionH>
            <wp:positionV relativeFrom="paragraph">
              <wp:posOffset>104140</wp:posOffset>
            </wp:positionV>
            <wp:extent cx="5335270" cy="3171190"/>
            <wp:effectExtent l="0" t="0" r="0" b="0"/>
            <wp:wrapSquare wrapText="bothSides"/>
            <wp:docPr id="4"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5270" cy="3171190"/>
                    </a:xfrm>
                    <a:prstGeom prst="rect">
                      <a:avLst/>
                    </a:prstGeom>
                    <a:noFill/>
                  </pic:spPr>
                </pic:pic>
              </a:graphicData>
            </a:graphic>
          </wp:anchor>
        </w:drawing>
      </w:r>
    </w:p>
    <w:p w:rsidR="00263A18" w:rsidRDefault="00263A18" w:rsidP="00263A18">
      <w:pPr>
        <w:pStyle w:val="GIPstandaard"/>
        <w:jc w:val="center"/>
      </w:pPr>
      <w:r>
        <w:rPr>
          <w:noProof/>
          <w:lang w:val="nl-BE" w:eastAsia="nl-BE"/>
        </w:rPr>
        <w:drawing>
          <wp:inline distT="0" distB="0" distL="0" distR="0">
            <wp:extent cx="2676525" cy="495300"/>
            <wp:effectExtent l="0" t="0" r="9525" b="0"/>
            <wp:docPr id="8" name="Objec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6525" cy="495300"/>
                    </a:xfrm>
                    <a:prstGeom prst="rect">
                      <a:avLst/>
                    </a:prstGeom>
                    <a:noFill/>
                    <a:ln>
                      <a:noFill/>
                    </a:ln>
                  </pic:spPr>
                </pic:pic>
              </a:graphicData>
            </a:graphic>
          </wp:inline>
        </w:drawing>
      </w:r>
    </w:p>
    <w:p w:rsidR="00263A18" w:rsidRDefault="00263A18" w:rsidP="00263A18">
      <w:pPr>
        <w:pStyle w:val="GIPtitelNiv3"/>
        <w:ind w:left="1080"/>
        <w:jc w:val="center"/>
      </w:pPr>
    </w:p>
    <w:p w:rsidR="00263A18" w:rsidRDefault="00263A18" w:rsidP="00263A18">
      <w:pPr>
        <w:pStyle w:val="GIPtitelNiv3"/>
        <w:ind w:left="1080"/>
        <w:jc w:val="center"/>
      </w:pPr>
    </w:p>
    <w:p w:rsidR="00263A18" w:rsidRDefault="00263A18" w:rsidP="00263A18">
      <w:pPr>
        <w:pStyle w:val="GIPtitelNiv2"/>
        <w:numPr>
          <w:ilvl w:val="1"/>
          <w:numId w:val="1"/>
        </w:numPr>
        <w:ind w:left="1134" w:hanging="1134"/>
        <w:jc w:val="both"/>
      </w:pPr>
      <w:bookmarkStart w:id="6" w:name="_Toc379030537"/>
      <w:r>
        <w:t>Toelichting</w:t>
      </w:r>
      <w:bookmarkEnd w:id="6"/>
    </w:p>
    <w:p w:rsidR="00263A18" w:rsidRDefault="00263A18" w:rsidP="00263A18">
      <w:pPr>
        <w:pStyle w:val="GIPtitelNiv2"/>
        <w:ind w:left="720"/>
        <w:jc w:val="both"/>
      </w:pPr>
    </w:p>
    <w:p w:rsidR="00263A18" w:rsidRDefault="00263A18" w:rsidP="00263A18">
      <w:pPr>
        <w:pStyle w:val="GIPtitelNiv2"/>
        <w:numPr>
          <w:ilvl w:val="2"/>
          <w:numId w:val="1"/>
        </w:numPr>
        <w:ind w:left="1134" w:hanging="1134"/>
        <w:jc w:val="both"/>
      </w:pPr>
      <w:bookmarkStart w:id="7" w:name="_Toc379030538"/>
      <w:r>
        <w:t>Verticale analyse</w:t>
      </w:r>
      <w:bookmarkEnd w:id="7"/>
    </w:p>
    <w:p w:rsidR="00263A18" w:rsidRDefault="00263A18" w:rsidP="00263A18">
      <w:pPr>
        <w:pStyle w:val="GIPstandaard"/>
      </w:pPr>
    </w:p>
    <w:p w:rsidR="00263A18" w:rsidRDefault="00263A18" w:rsidP="00263A18">
      <w:pPr>
        <w:pStyle w:val="GIPstandaard"/>
        <w:jc w:val="both"/>
      </w:pPr>
      <w:r>
        <w:t>Door een verticale analyse op te stellen, kan het bedrijf het belang van de verschillende balansposten in jaarrekening beter analyseren. Ook word de evolutie in de tijd duidelijker. Bij een verticale analyse wordt het balanstotaal aan 100% gelijk gesteld. Bij een resultatenrekening gaan we de getallen vergelijken met de omzet, die we gelijkstellen aan 100%.</w:t>
      </w:r>
    </w:p>
    <w:p w:rsidR="00263A18" w:rsidRDefault="00263A18" w:rsidP="00263A18">
      <w:pPr>
        <w:pStyle w:val="GIPstandaard"/>
        <w:jc w:val="both"/>
      </w:pPr>
    </w:p>
    <w:p w:rsidR="00263A18" w:rsidRDefault="00263A18" w:rsidP="00263A18">
      <w:pPr>
        <w:pStyle w:val="GIPstandaard"/>
        <w:jc w:val="both"/>
      </w:pPr>
    </w:p>
    <w:p w:rsidR="00263A18" w:rsidRDefault="00263A18" w:rsidP="00263A18">
      <w:pPr>
        <w:rPr>
          <w:rFonts w:ascii="Arial" w:hAnsi="Arial"/>
          <w:b/>
          <w:sz w:val="28"/>
        </w:rPr>
      </w:pPr>
      <w:r>
        <w:br w:type="page"/>
      </w:r>
    </w:p>
    <w:p w:rsidR="00263A18" w:rsidRDefault="00263A18" w:rsidP="00263A18">
      <w:pPr>
        <w:pStyle w:val="GIPtitelNiv3"/>
        <w:numPr>
          <w:ilvl w:val="3"/>
          <w:numId w:val="1"/>
        </w:numPr>
        <w:ind w:left="1134" w:hanging="1134"/>
        <w:jc w:val="both"/>
      </w:pPr>
      <w:bookmarkStart w:id="8" w:name="_Toc379030539"/>
      <w:r>
        <w:lastRenderedPageBreak/>
        <w:t>Activa</w:t>
      </w:r>
      <w:bookmarkEnd w:id="8"/>
    </w:p>
    <w:p w:rsidR="00263A18" w:rsidRDefault="00263A18" w:rsidP="00263A18">
      <w:pPr>
        <w:pStyle w:val="GIPstandaard"/>
        <w:jc w:val="both"/>
      </w:pPr>
    </w:p>
    <w:p w:rsidR="00263A18" w:rsidRDefault="00263A18" w:rsidP="00263A18">
      <w:pPr>
        <w:pStyle w:val="GIPstandaard"/>
        <w:jc w:val="center"/>
      </w:pPr>
      <w:r>
        <w:rPr>
          <w:noProof/>
          <w:lang w:val="nl-BE" w:eastAsia="nl-BE"/>
        </w:rPr>
        <w:drawing>
          <wp:inline distT="0" distB="0" distL="0" distR="0">
            <wp:extent cx="2638425" cy="1581150"/>
            <wp:effectExtent l="0" t="0" r="9525" b="0"/>
            <wp:docPr id="9" name="Objec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8425" cy="1581150"/>
                    </a:xfrm>
                    <a:prstGeom prst="rect">
                      <a:avLst/>
                    </a:prstGeom>
                    <a:noFill/>
                    <a:ln>
                      <a:noFill/>
                    </a:ln>
                  </pic:spPr>
                </pic:pic>
              </a:graphicData>
            </a:graphic>
          </wp:inline>
        </w:drawing>
      </w:r>
      <w:r>
        <w:t xml:space="preserve">       </w:t>
      </w:r>
      <w:r>
        <w:rPr>
          <w:noProof/>
          <w:lang w:val="nl-BE" w:eastAsia="nl-BE"/>
        </w:rPr>
        <w:drawing>
          <wp:inline distT="0" distB="0" distL="0" distR="0">
            <wp:extent cx="2628900" cy="158115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1581150"/>
                    </a:xfrm>
                    <a:prstGeom prst="rect">
                      <a:avLst/>
                    </a:prstGeom>
                    <a:noFill/>
                    <a:ln>
                      <a:noFill/>
                    </a:ln>
                  </pic:spPr>
                </pic:pic>
              </a:graphicData>
            </a:graphic>
          </wp:inline>
        </w:drawing>
      </w:r>
    </w:p>
    <w:p w:rsidR="00263A18" w:rsidRDefault="00263A18" w:rsidP="00263A18">
      <w:pPr>
        <w:pStyle w:val="GIPstandaard"/>
      </w:pPr>
    </w:p>
    <w:p w:rsidR="00263A18" w:rsidRDefault="00263A18" w:rsidP="00263A18">
      <w:pPr>
        <w:pStyle w:val="GIPstandaard"/>
        <w:jc w:val="both"/>
      </w:pPr>
      <w:r>
        <w:t xml:space="preserve">Zoals te zien is op de grafieken is er maar een minimaal verschil van minder dan 1% tussen de twee boekjaren. Dit betekent dat het bedrijf redelijk stabiel is gebleven. </w:t>
      </w:r>
    </w:p>
    <w:p w:rsidR="00263A18" w:rsidRDefault="00263A18" w:rsidP="00263A18">
      <w:pPr>
        <w:pStyle w:val="GIPstandaard"/>
        <w:jc w:val="both"/>
      </w:pPr>
    </w:p>
    <w:p w:rsidR="00263A18" w:rsidRDefault="00263A18" w:rsidP="00263A18">
      <w:pPr>
        <w:pStyle w:val="GIPstandaard"/>
        <w:jc w:val="both"/>
      </w:pPr>
      <w:r>
        <w:t>De vlottende activa zijn belangrijker dan de vaste activa. Dit kan komen door:</w:t>
      </w:r>
    </w:p>
    <w:p w:rsidR="00263A18" w:rsidRDefault="00263A18" w:rsidP="00263A18">
      <w:pPr>
        <w:pStyle w:val="GIPstandaard"/>
        <w:numPr>
          <w:ilvl w:val="0"/>
          <w:numId w:val="2"/>
        </w:numPr>
        <w:jc w:val="both"/>
      </w:pPr>
      <w:r>
        <w:t>Een voorraadstijging van 2% en daarbij ook nog eens een stijging van 3% bij de handelsvorderingen</w:t>
      </w:r>
    </w:p>
    <w:p w:rsidR="00263A18" w:rsidRDefault="00263A18" w:rsidP="00263A18">
      <w:pPr>
        <w:pStyle w:val="GIPstandaard"/>
        <w:numPr>
          <w:ilvl w:val="0"/>
          <w:numId w:val="2"/>
        </w:numPr>
        <w:jc w:val="both"/>
      </w:pPr>
      <w:r>
        <w:t>De stijging van de liquide middelen met 3%.</w:t>
      </w:r>
    </w:p>
    <w:p w:rsidR="00263A18" w:rsidRDefault="00263A18" w:rsidP="00263A18">
      <w:pPr>
        <w:pStyle w:val="GIPstandaard"/>
        <w:jc w:val="both"/>
      </w:pPr>
      <w:r>
        <w:t>Toch was er ook een daling, namelijk bij de geldbeleggingen en dan bedoel ik specifiek de overige beleggingen. Deze zijn met 7% gedaald.</w:t>
      </w:r>
    </w:p>
    <w:p w:rsidR="00263A18" w:rsidRDefault="00263A18" w:rsidP="00263A18">
      <w:pPr>
        <w:pStyle w:val="GIPstandaard"/>
        <w:jc w:val="both"/>
      </w:pPr>
    </w:p>
    <w:p w:rsidR="00263A18" w:rsidRDefault="00263A18" w:rsidP="00263A18">
      <w:pPr>
        <w:pStyle w:val="GIPstandaard"/>
        <w:jc w:val="both"/>
      </w:pPr>
      <w:r>
        <w:t>Bij de vaste activa zijn er maar zeer kleine veranderingen van minder dan een halve procent.</w:t>
      </w:r>
    </w:p>
    <w:p w:rsidR="00263A18" w:rsidRDefault="00263A18" w:rsidP="00263A18">
      <w:pPr>
        <w:pStyle w:val="GIPstandaard"/>
      </w:pPr>
    </w:p>
    <w:p w:rsidR="00263A18" w:rsidRDefault="00263A18" w:rsidP="00263A18">
      <w:pPr>
        <w:pStyle w:val="GIPstandaard"/>
      </w:pPr>
    </w:p>
    <w:p w:rsidR="00263A18" w:rsidRDefault="00263A18" w:rsidP="00263A18">
      <w:pPr>
        <w:rPr>
          <w:rFonts w:ascii="Arial" w:hAnsi="Arial"/>
          <w:b/>
          <w:sz w:val="28"/>
        </w:rPr>
      </w:pPr>
      <w:r>
        <w:br w:type="page"/>
      </w:r>
    </w:p>
    <w:p w:rsidR="00263A18" w:rsidRDefault="00263A18" w:rsidP="00263A18">
      <w:pPr>
        <w:pStyle w:val="GIPtitelNiv3"/>
        <w:numPr>
          <w:ilvl w:val="3"/>
          <w:numId w:val="1"/>
        </w:numPr>
        <w:ind w:left="1134" w:hanging="1134"/>
        <w:jc w:val="both"/>
      </w:pPr>
      <w:bookmarkStart w:id="9" w:name="_Toc379030540"/>
      <w:r>
        <w:lastRenderedPageBreak/>
        <w:t>Passiva</w:t>
      </w:r>
      <w:bookmarkEnd w:id="9"/>
    </w:p>
    <w:p w:rsidR="00263A18" w:rsidRDefault="00263A18" w:rsidP="00263A18">
      <w:pPr>
        <w:pStyle w:val="GIPtitelNiv3"/>
        <w:ind w:left="1440"/>
        <w:jc w:val="both"/>
      </w:pPr>
    </w:p>
    <w:p w:rsidR="00263A18" w:rsidRDefault="00263A18" w:rsidP="00263A18">
      <w:pPr>
        <w:pStyle w:val="GIPstandaard"/>
        <w:jc w:val="center"/>
      </w:pPr>
      <w:r>
        <w:rPr>
          <w:noProof/>
          <w:lang w:val="nl-BE" w:eastAsia="nl-BE"/>
        </w:rPr>
        <w:drawing>
          <wp:inline distT="0" distB="0" distL="0" distR="0">
            <wp:extent cx="2695575" cy="1619250"/>
            <wp:effectExtent l="0" t="0" r="9525" b="0"/>
            <wp:docPr id="11" name="Objec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1619250"/>
                    </a:xfrm>
                    <a:prstGeom prst="rect">
                      <a:avLst/>
                    </a:prstGeom>
                    <a:noFill/>
                    <a:ln>
                      <a:noFill/>
                    </a:ln>
                  </pic:spPr>
                </pic:pic>
              </a:graphicData>
            </a:graphic>
          </wp:inline>
        </w:drawing>
      </w:r>
      <w:r>
        <w:t xml:space="preserve">     </w:t>
      </w:r>
      <w:r>
        <w:rPr>
          <w:noProof/>
          <w:lang w:val="nl-BE" w:eastAsia="nl-BE"/>
        </w:rPr>
        <w:drawing>
          <wp:inline distT="0" distB="0" distL="0" distR="0">
            <wp:extent cx="2714625" cy="1628775"/>
            <wp:effectExtent l="0" t="0" r="9525" b="9525"/>
            <wp:docPr id="12" name="Objec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628775"/>
                    </a:xfrm>
                    <a:prstGeom prst="rect">
                      <a:avLst/>
                    </a:prstGeom>
                    <a:noFill/>
                    <a:ln>
                      <a:noFill/>
                    </a:ln>
                  </pic:spPr>
                </pic:pic>
              </a:graphicData>
            </a:graphic>
          </wp:inline>
        </w:drawing>
      </w:r>
    </w:p>
    <w:p w:rsidR="00263A18" w:rsidRDefault="00263A18" w:rsidP="00263A18">
      <w:pPr>
        <w:pStyle w:val="GIPstandaard"/>
      </w:pPr>
    </w:p>
    <w:p w:rsidR="00263A18" w:rsidRDefault="00263A18" w:rsidP="00263A18">
      <w:pPr>
        <w:pStyle w:val="GIPstandaard"/>
        <w:jc w:val="both"/>
      </w:pPr>
      <w:r>
        <w:t>Het eigen vermogen is bijna met 8% gestegen. Het vreemd vermogen is hierdoor met bijna 8% gedaald. Deze verandering komt door:</w:t>
      </w:r>
    </w:p>
    <w:p w:rsidR="00263A18" w:rsidRDefault="00263A18" w:rsidP="00263A18">
      <w:pPr>
        <w:pStyle w:val="GIPstandaard"/>
        <w:jc w:val="both"/>
      </w:pPr>
    </w:p>
    <w:p w:rsidR="00263A18" w:rsidRDefault="00263A18" w:rsidP="00263A18">
      <w:pPr>
        <w:pStyle w:val="GIPstandaard"/>
        <w:jc w:val="both"/>
      </w:pPr>
      <w:r>
        <w:t xml:space="preserve">De stijging van het eigen vermogen kan komen doordat er: </w:t>
      </w:r>
    </w:p>
    <w:p w:rsidR="00263A18" w:rsidRDefault="00263A18" w:rsidP="00263A18">
      <w:pPr>
        <w:pStyle w:val="GIPstandaard"/>
        <w:numPr>
          <w:ilvl w:val="0"/>
          <w:numId w:val="3"/>
        </w:numPr>
        <w:jc w:val="both"/>
      </w:pPr>
      <w:r>
        <w:t>Een kapitaalverhoging heeft plaatsgevonden, namelijk 2%.</w:t>
      </w:r>
    </w:p>
    <w:p w:rsidR="00263A18" w:rsidRDefault="00263A18" w:rsidP="00263A18">
      <w:pPr>
        <w:pStyle w:val="GIPstandaard"/>
        <w:numPr>
          <w:ilvl w:val="0"/>
          <w:numId w:val="3"/>
        </w:numPr>
        <w:jc w:val="both"/>
      </w:pPr>
      <w:r>
        <w:t>Een stijging is van overgedragen winst</w:t>
      </w:r>
    </w:p>
    <w:p w:rsidR="00263A18" w:rsidRDefault="00263A18" w:rsidP="00263A18">
      <w:pPr>
        <w:pStyle w:val="GIPstandaard"/>
        <w:numPr>
          <w:ilvl w:val="0"/>
          <w:numId w:val="3"/>
        </w:numPr>
        <w:jc w:val="both"/>
      </w:pPr>
      <w:r>
        <w:t>Een stijging van de reserves is, deze bedraagt 6%</w:t>
      </w:r>
    </w:p>
    <w:p w:rsidR="00263A18" w:rsidRDefault="00263A18" w:rsidP="00263A18">
      <w:pPr>
        <w:pStyle w:val="GIPstandaard"/>
        <w:jc w:val="both"/>
      </w:pPr>
    </w:p>
    <w:p w:rsidR="00263A18" w:rsidRDefault="00263A18" w:rsidP="00263A18">
      <w:pPr>
        <w:pStyle w:val="GIPstandaard"/>
        <w:jc w:val="both"/>
      </w:pPr>
      <w:r>
        <w:t>Het vreemd vermogen is gedaald met 8% dit komt vooral van de schulden, specifiek bij de schulden op ten hoogste 1 jaar. De leveranciersschulden zijn hier met 6% gedaald. Deze daling kan komen doordat er:</w:t>
      </w:r>
    </w:p>
    <w:p w:rsidR="00263A18" w:rsidRDefault="00263A18" w:rsidP="00263A18">
      <w:pPr>
        <w:pStyle w:val="GIPstandaard"/>
        <w:numPr>
          <w:ilvl w:val="0"/>
          <w:numId w:val="4"/>
        </w:numPr>
        <w:jc w:val="both"/>
      </w:pPr>
      <w:r>
        <w:t>Bij een stijging van de aankopen het bedrijf de schulden sneller heeft terugbetaald.</w:t>
      </w:r>
    </w:p>
    <w:p w:rsidR="00263A18" w:rsidRDefault="00263A18" w:rsidP="00263A18">
      <w:pPr>
        <w:pStyle w:val="GIPstandaard"/>
        <w:numPr>
          <w:ilvl w:val="0"/>
          <w:numId w:val="4"/>
        </w:numPr>
        <w:jc w:val="both"/>
      </w:pPr>
      <w:r>
        <w:t>Bij een daling van de aankopen er een normale aanpassing is aan de marktevolutie.</w:t>
      </w:r>
    </w:p>
    <w:p w:rsidR="00263A18" w:rsidRDefault="00263A18" w:rsidP="00263A18">
      <w:pPr>
        <w:pStyle w:val="GIPstandaard"/>
      </w:pPr>
    </w:p>
    <w:p w:rsidR="00263A18" w:rsidRDefault="00263A18" w:rsidP="00263A18">
      <w:pPr>
        <w:rPr>
          <w:rFonts w:ascii="Arial" w:hAnsi="Arial"/>
          <w:b/>
          <w:sz w:val="28"/>
        </w:rPr>
      </w:pPr>
    </w:p>
    <w:p w:rsidR="00263A18" w:rsidRDefault="00263A18" w:rsidP="00263A18">
      <w:pPr>
        <w:pStyle w:val="GIPtitelNiv3"/>
        <w:numPr>
          <w:ilvl w:val="3"/>
          <w:numId w:val="1"/>
        </w:numPr>
        <w:ind w:left="1134" w:hanging="1134"/>
        <w:jc w:val="both"/>
      </w:pPr>
      <w:bookmarkStart w:id="10" w:name="_Toc379030541"/>
      <w:r>
        <w:t>Resultatenrekening</w:t>
      </w:r>
      <w:bookmarkEnd w:id="10"/>
    </w:p>
    <w:p w:rsidR="00263A18" w:rsidRDefault="00263A18" w:rsidP="00263A18">
      <w:pPr>
        <w:pStyle w:val="GIPstandaard"/>
        <w:jc w:val="both"/>
      </w:pPr>
    </w:p>
    <w:p w:rsidR="00263A18" w:rsidRDefault="00263A18" w:rsidP="00263A18">
      <w:pPr>
        <w:pStyle w:val="GIPstandaard"/>
        <w:numPr>
          <w:ilvl w:val="0"/>
          <w:numId w:val="9"/>
        </w:numPr>
        <w:jc w:val="both"/>
      </w:pPr>
      <w:r>
        <w:t>De bedrijfsopbrengsten zijn met 0,06% gestegen, dit is maar heel weinig. Daardoor bedragen de bedrijfsopbrengsten voor 2012 108,18%. Ze liggen wel 8,18% boven de omzet, maar dit komt omdat de bedrijfsopbrengsten bestaan uit omzet, wijzigingen in voorraad van goederen in bewerking, geproduceerde vaste activa en de andere bedrijfsopbrengsten</w:t>
      </w:r>
    </w:p>
    <w:p w:rsidR="00263A18" w:rsidRDefault="00263A18" w:rsidP="00263A18">
      <w:pPr>
        <w:pStyle w:val="GIPstandaard"/>
        <w:numPr>
          <w:ilvl w:val="0"/>
          <w:numId w:val="9"/>
        </w:numPr>
        <w:jc w:val="both"/>
      </w:pPr>
      <w:r>
        <w:t>De bedrijfskosten zijn met bijna 7% gestegen. Dit is positief voor het bedrijf. De bedrijfskosten bedragen 99,08%, dit ligt iets minder dan 1% onder de omzet. De stijging bij de bedrijfskosten komen vooral van de diensten en diverse goederen ( van 21,68% naar 25,71%) en de bezoldigingen, sociale lasten en pensioenen ( van 23,76% naar 31,03 %).</w:t>
      </w:r>
    </w:p>
    <w:p w:rsidR="00263A18" w:rsidRDefault="00263A18" w:rsidP="00263A18">
      <w:pPr>
        <w:pStyle w:val="GIPstandaard"/>
        <w:numPr>
          <w:ilvl w:val="0"/>
          <w:numId w:val="9"/>
        </w:numPr>
        <w:jc w:val="both"/>
      </w:pPr>
      <w:r>
        <w:t>Bedrijfswinst is met bijna 5% gedaald tegenover 2011. Deze bedraagt nu 9,11%. In 2011 bedroeg deze 14,73%. Deze 9% is geen hoog getal, zeker niet in vergelijking met de omzet (100%). Deze daling kan komen door een slecht jaar.</w:t>
      </w:r>
    </w:p>
    <w:p w:rsidR="00263A18" w:rsidRDefault="00263A18" w:rsidP="00263A18">
      <w:pPr>
        <w:pStyle w:val="GIPstandaard"/>
        <w:numPr>
          <w:ilvl w:val="0"/>
          <w:numId w:val="9"/>
        </w:numPr>
        <w:jc w:val="both"/>
      </w:pPr>
      <w:r>
        <w:t xml:space="preserve">Het te bestemmen winst van het boekjaar is ook 5% gedaald. Deze bedroeg in 2011 8,81% en nu (in 2012) bedraagt deze 3,61%. Dit is een stevig daling. </w:t>
      </w:r>
      <w:r>
        <w:lastRenderedPageBreak/>
        <w:t xml:space="preserve">Tegenover de omzet is dit een heel slecht getal, het verschil bedraagt </w:t>
      </w:r>
      <w:r w:rsidRPr="0063015F">
        <w:t>bijna</w:t>
      </w:r>
      <w:r>
        <w:t xml:space="preserve"> </w:t>
      </w:r>
      <w:r w:rsidRPr="0063015F">
        <w:t>7</w:t>
      </w:r>
      <w:r>
        <w:t>%.</w:t>
      </w:r>
    </w:p>
    <w:p w:rsidR="00263A18" w:rsidRDefault="00263A18" w:rsidP="00263A18">
      <w:pPr>
        <w:pStyle w:val="GIPtitelNiv2"/>
        <w:numPr>
          <w:ilvl w:val="2"/>
          <w:numId w:val="1"/>
        </w:numPr>
        <w:ind w:left="1134" w:hanging="1134"/>
        <w:jc w:val="both"/>
      </w:pPr>
      <w:bookmarkStart w:id="11" w:name="_Toc379030542"/>
      <w:r>
        <w:t>Horizontale analyse</w:t>
      </w:r>
      <w:bookmarkEnd w:id="11"/>
    </w:p>
    <w:p w:rsidR="00263A18" w:rsidRDefault="00263A18" w:rsidP="00263A18">
      <w:pPr>
        <w:pStyle w:val="GIPtitelNiv2"/>
        <w:jc w:val="both"/>
      </w:pPr>
    </w:p>
    <w:p w:rsidR="00263A18" w:rsidRDefault="00263A18" w:rsidP="00263A18">
      <w:pPr>
        <w:pStyle w:val="GIPstandaard"/>
        <w:rPr>
          <w:lang w:val="fr-BE"/>
        </w:rPr>
      </w:pPr>
      <w:r w:rsidRPr="00C84DA6">
        <w:rPr>
          <w:lang w:val="fr-BE"/>
        </w:rPr>
        <w:t xml:space="preserve">Formule: </w:t>
      </w:r>
      <m:oMath>
        <m:f>
          <m:fPr>
            <m:ctrlPr>
              <w:rPr>
                <w:rFonts w:ascii="Cambria Math" w:hAnsi="Cambria Math" w:cs="Arial"/>
                <w:i/>
              </w:rPr>
            </m:ctrlPr>
          </m:fPr>
          <m:num>
            <m:r>
              <w:rPr>
                <w:rFonts w:ascii="Cambria Math" w:hAnsi="Cambria Math" w:cs="Arial"/>
              </w:rPr>
              <m:t>Cijfer</m:t>
            </m:r>
            <m:r>
              <w:rPr>
                <w:rFonts w:ascii="Cambria Math" w:cs="Arial"/>
                <w:lang w:val="fr-BE"/>
              </w:rPr>
              <m:t xml:space="preserve"> </m:t>
            </m:r>
            <m:r>
              <w:rPr>
                <w:rFonts w:ascii="Cambria Math" w:hAnsi="Cambria Math" w:cs="Arial"/>
              </w:rPr>
              <m:t>lopend</m:t>
            </m:r>
            <m:r>
              <w:rPr>
                <w:rFonts w:ascii="Cambria Math" w:cs="Arial"/>
                <w:lang w:val="fr-BE"/>
              </w:rPr>
              <m:t xml:space="preserve"> </m:t>
            </m:r>
            <m:r>
              <w:rPr>
                <w:rFonts w:ascii="Cambria Math" w:hAnsi="Cambria Math" w:cs="Arial"/>
              </w:rPr>
              <m:t>boekjaar</m:t>
            </m:r>
          </m:num>
          <m:den>
            <m:r>
              <w:rPr>
                <w:rFonts w:ascii="Cambria Math" w:hAnsi="Cambria Math" w:cs="Arial"/>
              </w:rPr>
              <m:t>Cijfer</m:t>
            </m:r>
            <m:r>
              <w:rPr>
                <w:rFonts w:ascii="Cambria Math" w:cs="Arial"/>
                <w:lang w:val="fr-BE"/>
              </w:rPr>
              <m:t xml:space="preserve"> </m:t>
            </m:r>
            <m:r>
              <w:rPr>
                <w:rFonts w:ascii="Cambria Math" w:hAnsi="Cambria Math" w:cs="Arial"/>
              </w:rPr>
              <m:t>basisjaar</m:t>
            </m:r>
          </m:den>
        </m:f>
        <m:r>
          <w:rPr>
            <w:rFonts w:ascii="Cambria Math" w:hAnsi="Cambria Math" w:cs="Arial"/>
            <w:lang w:val="fr-BE"/>
          </w:rPr>
          <m:t>×</m:t>
        </m:r>
        <m:r>
          <w:rPr>
            <w:rFonts w:ascii="Cambria Math" w:cs="Arial"/>
            <w:lang w:val="fr-BE"/>
          </w:rPr>
          <m:t>100</m:t>
        </m:r>
      </m:oMath>
    </w:p>
    <w:p w:rsidR="00263A18" w:rsidRDefault="00263A18" w:rsidP="00263A18">
      <w:pPr>
        <w:pStyle w:val="GIPstandaard"/>
        <w:jc w:val="both"/>
        <w:rPr>
          <w:lang w:val="fr-BE"/>
        </w:rPr>
      </w:pPr>
    </w:p>
    <w:p w:rsidR="00263A18" w:rsidRDefault="00263A18" w:rsidP="00263A18">
      <w:pPr>
        <w:pStyle w:val="GIPstandaard"/>
        <w:jc w:val="both"/>
        <w:rPr>
          <w:lang w:val="nl-BE"/>
        </w:rPr>
      </w:pPr>
      <w:r w:rsidRPr="005E2F85">
        <w:rPr>
          <w:lang w:val="nl-BE"/>
        </w:rPr>
        <w:t xml:space="preserve">De horizontale analyse is belangrijker om de evolutie in de tijd van de verschillende rubrieken beter te bestuderen. </w:t>
      </w:r>
      <w:r>
        <w:rPr>
          <w:lang w:val="nl-BE"/>
        </w:rPr>
        <w:t>We vergelijken het huidige boekjaar met het vorige boekjaar dat op 100% staat.</w:t>
      </w:r>
    </w:p>
    <w:p w:rsidR="00263A18" w:rsidRDefault="00263A18" w:rsidP="00263A18">
      <w:pPr>
        <w:pStyle w:val="GIPstandaard"/>
        <w:rPr>
          <w:lang w:val="nl-BE"/>
        </w:rPr>
      </w:pPr>
    </w:p>
    <w:p w:rsidR="00263A18" w:rsidRDefault="00263A18" w:rsidP="00263A18">
      <w:pPr>
        <w:rPr>
          <w:rFonts w:ascii="Arial" w:hAnsi="Arial"/>
          <w:b/>
          <w:sz w:val="28"/>
        </w:rPr>
      </w:pPr>
    </w:p>
    <w:p w:rsidR="00263A18" w:rsidRDefault="00263A18" w:rsidP="00263A18">
      <w:pPr>
        <w:pStyle w:val="GIPtitelNiv3"/>
        <w:numPr>
          <w:ilvl w:val="3"/>
          <w:numId w:val="1"/>
        </w:numPr>
        <w:ind w:left="1134" w:hanging="1134"/>
        <w:jc w:val="both"/>
      </w:pPr>
      <w:bookmarkStart w:id="12" w:name="_Toc379030543"/>
      <w:r>
        <w:t>Activa</w:t>
      </w:r>
      <w:bookmarkEnd w:id="12"/>
    </w:p>
    <w:p w:rsidR="00263A18" w:rsidRDefault="00263A18" w:rsidP="00263A18">
      <w:pPr>
        <w:pStyle w:val="GIPstandaard"/>
      </w:pPr>
    </w:p>
    <w:p w:rsidR="00263A18" w:rsidRDefault="00263A18" w:rsidP="00263A18">
      <w:pPr>
        <w:pStyle w:val="GIPstandaard"/>
      </w:pPr>
      <w:r>
        <w:t xml:space="preserve">De vaste activa zijn bijna 13% gedaald tegenover boekjaar 1. Deze bedragen namelijk nu (2012) 87,51%. Dit komt doordat: </w:t>
      </w:r>
    </w:p>
    <w:p w:rsidR="00263A18" w:rsidRDefault="00263A18" w:rsidP="00263A18">
      <w:pPr>
        <w:pStyle w:val="GIPstandaard"/>
        <w:numPr>
          <w:ilvl w:val="0"/>
          <w:numId w:val="5"/>
        </w:numPr>
        <w:jc w:val="both"/>
      </w:pPr>
      <w:r>
        <w:t>De immateriële vaste activa meer als 58% hoger liggen als het normale percentage (100%). De immateriële vaste activa bedragen 158,18%.</w:t>
      </w:r>
    </w:p>
    <w:p w:rsidR="00263A18" w:rsidRDefault="00263A18" w:rsidP="00263A18">
      <w:pPr>
        <w:pStyle w:val="GIPstandaard"/>
        <w:numPr>
          <w:ilvl w:val="0"/>
          <w:numId w:val="5"/>
        </w:numPr>
        <w:jc w:val="both"/>
      </w:pPr>
      <w:r>
        <w:t>De materiële vaste activa zijn 88,28% en liggen 12% lager als het vorige boekjaar (100%)</w:t>
      </w:r>
    </w:p>
    <w:p w:rsidR="00263A18" w:rsidRDefault="00263A18" w:rsidP="00263A18">
      <w:pPr>
        <w:pStyle w:val="GIPstandaard"/>
        <w:numPr>
          <w:ilvl w:val="0"/>
          <w:numId w:val="5"/>
        </w:numPr>
        <w:jc w:val="both"/>
      </w:pPr>
      <w:r>
        <w:t>De financiële vaste activa liggen 15% lager als het vorige boekjaar (100%) Deze zijn namelijk 85,70 %.</w:t>
      </w:r>
    </w:p>
    <w:p w:rsidR="00263A18" w:rsidRDefault="00263A18" w:rsidP="00263A18">
      <w:pPr>
        <w:pStyle w:val="GIPstandaard"/>
        <w:ind w:left="720"/>
        <w:jc w:val="both"/>
      </w:pPr>
    </w:p>
    <w:p w:rsidR="00263A18" w:rsidRDefault="00263A18" w:rsidP="00263A18">
      <w:pPr>
        <w:pStyle w:val="GIPstandaard"/>
      </w:pPr>
      <w:r>
        <w:t>De vlottende activa zijn ook bijna 13% gedaald tegenover het vorige boekjaar. Deze bedragen namelijk nu (2012) 87,19%. Dit komt doordat:</w:t>
      </w:r>
    </w:p>
    <w:p w:rsidR="00263A18" w:rsidRDefault="00263A18" w:rsidP="00263A18">
      <w:pPr>
        <w:pStyle w:val="GIPstandaard"/>
        <w:numPr>
          <w:ilvl w:val="0"/>
          <w:numId w:val="10"/>
        </w:numPr>
      </w:pPr>
      <w:r>
        <w:t>De voorraden en bestellingen in uitvoering gedaald zijn met bijna 11%. Deze bedragen in het huidige boekjaar (2012) 89,02%.</w:t>
      </w:r>
    </w:p>
    <w:p w:rsidR="00263A18" w:rsidRDefault="00263A18" w:rsidP="00263A18">
      <w:pPr>
        <w:pStyle w:val="GIPstandaard"/>
        <w:numPr>
          <w:ilvl w:val="0"/>
          <w:numId w:val="10"/>
        </w:numPr>
      </w:pPr>
      <w:r>
        <w:t xml:space="preserve"> De vorderingen op ten hoogstens 1 jaar bedragen 103,69% en zijn gestegen met bijna 4%. </w:t>
      </w:r>
    </w:p>
    <w:p w:rsidR="00263A18" w:rsidRDefault="00263A18" w:rsidP="00263A18">
      <w:pPr>
        <w:pStyle w:val="GIPstandaard"/>
        <w:numPr>
          <w:ilvl w:val="0"/>
          <w:numId w:val="10"/>
        </w:numPr>
      </w:pPr>
      <w:r>
        <w:t>De geldbeleggingen met iets meer als 99% zijn gedaald. Deze bedragen namelijk 0,91%.</w:t>
      </w:r>
    </w:p>
    <w:p w:rsidR="00263A18" w:rsidRDefault="00263A18" w:rsidP="00263A18">
      <w:pPr>
        <w:pStyle w:val="GIPstandaard"/>
        <w:numPr>
          <w:ilvl w:val="0"/>
          <w:numId w:val="10"/>
        </w:numPr>
      </w:pPr>
      <w:r>
        <w:t>De liquide middelen zijn gestegen met bijna 2,5%. Deze bedragen in het huidige boekjaar 102,35%.</w:t>
      </w:r>
    </w:p>
    <w:p w:rsidR="00263A18" w:rsidRDefault="00263A18" w:rsidP="00263A18">
      <w:pPr>
        <w:pStyle w:val="GIPstandaard"/>
        <w:numPr>
          <w:ilvl w:val="0"/>
          <w:numId w:val="10"/>
        </w:numPr>
      </w:pPr>
      <w:r>
        <w:t>De overlopende rekeningen die 59,17% bedragen zijn gedaald met iets meer als 40%.</w:t>
      </w:r>
    </w:p>
    <w:p w:rsidR="00263A18" w:rsidRDefault="00263A18" w:rsidP="00263A18">
      <w:pPr>
        <w:pStyle w:val="GIPstandaard"/>
        <w:ind w:left="360"/>
      </w:pPr>
    </w:p>
    <w:p w:rsidR="00263A18" w:rsidRDefault="00263A18" w:rsidP="00263A18">
      <w:pPr>
        <w:pStyle w:val="GIPstandaard"/>
        <w:ind w:left="360"/>
      </w:pPr>
      <w:r>
        <w:sym w:font="Wingdings" w:char="F0E0"/>
      </w:r>
      <w:r>
        <w:t xml:space="preserve"> Het totaal van de activa is met bijna 13% gedaald. Deze bedraagt namelijk 87,33%. Als u kijkt naar de vaste activa en vlottende activa ziet u dat deze ook allebei 13% zijn gedaald vandaar ook dit bedrag in de totale activa.</w:t>
      </w:r>
    </w:p>
    <w:p w:rsidR="00263A18" w:rsidRDefault="00263A18" w:rsidP="00263A18">
      <w:pPr>
        <w:pStyle w:val="GIPstandaard"/>
      </w:pPr>
    </w:p>
    <w:p w:rsidR="00263A18" w:rsidRDefault="00263A18" w:rsidP="00263A18">
      <w:pPr>
        <w:pStyle w:val="GIPstandaard"/>
      </w:pPr>
    </w:p>
    <w:p w:rsidR="00263A18" w:rsidRDefault="00263A18" w:rsidP="00263A18">
      <w:pPr>
        <w:rPr>
          <w:rFonts w:ascii="Arial" w:hAnsi="Arial"/>
          <w:b/>
          <w:sz w:val="28"/>
        </w:rPr>
      </w:pPr>
      <w:r>
        <w:br w:type="page"/>
      </w:r>
    </w:p>
    <w:p w:rsidR="00263A18" w:rsidRDefault="00263A18" w:rsidP="00263A18">
      <w:pPr>
        <w:pStyle w:val="GIPtitelNiv3"/>
        <w:numPr>
          <w:ilvl w:val="3"/>
          <w:numId w:val="1"/>
        </w:numPr>
        <w:ind w:left="1134" w:hanging="1134"/>
        <w:jc w:val="both"/>
      </w:pPr>
      <w:bookmarkStart w:id="13" w:name="_Toc379030544"/>
      <w:r>
        <w:lastRenderedPageBreak/>
        <w:t>Passiva</w:t>
      </w:r>
      <w:bookmarkEnd w:id="13"/>
    </w:p>
    <w:p w:rsidR="00263A18" w:rsidRDefault="00263A18" w:rsidP="00263A18">
      <w:pPr>
        <w:pStyle w:val="GIPstandaard"/>
      </w:pPr>
    </w:p>
    <w:p w:rsidR="00263A18" w:rsidRDefault="00263A18" w:rsidP="00263A18">
      <w:pPr>
        <w:pStyle w:val="GIPstandaard"/>
        <w:jc w:val="both"/>
      </w:pPr>
      <w:r>
        <w:t>Het eigen vermogen is bijna 1% gedaald tegenover boekjaar 1 (100%). Het eigen vermogen bedraagt 99,12 % in 2012. Dit komt doordat:</w:t>
      </w:r>
    </w:p>
    <w:p w:rsidR="00263A18" w:rsidRDefault="00263A18" w:rsidP="00263A18">
      <w:pPr>
        <w:pStyle w:val="GIPstandaard"/>
        <w:numPr>
          <w:ilvl w:val="0"/>
          <w:numId w:val="6"/>
        </w:numPr>
        <w:jc w:val="both"/>
      </w:pPr>
      <w:r>
        <w:t>Het kapitaal gelijk is gebleven en dus 100% is.</w:t>
      </w:r>
    </w:p>
    <w:p w:rsidR="00263A18" w:rsidRDefault="00263A18" w:rsidP="00263A18">
      <w:pPr>
        <w:pStyle w:val="GIPstandaard"/>
        <w:numPr>
          <w:ilvl w:val="0"/>
          <w:numId w:val="6"/>
        </w:numPr>
        <w:jc w:val="both"/>
      </w:pPr>
      <w:r>
        <w:t>De reserves bijna 1% zijn gedaald. Deze bedragen in het huidige boekjaar 99,30%.</w:t>
      </w:r>
    </w:p>
    <w:p w:rsidR="00263A18" w:rsidRDefault="00263A18" w:rsidP="00263A18">
      <w:pPr>
        <w:pStyle w:val="GIPstandaard"/>
        <w:numPr>
          <w:ilvl w:val="0"/>
          <w:numId w:val="6"/>
        </w:numPr>
        <w:jc w:val="both"/>
      </w:pPr>
      <w:r>
        <w:t>De kapitaalsubsidies die 90% bedragen zijn gedaald met 10%.</w:t>
      </w:r>
    </w:p>
    <w:p w:rsidR="00263A18" w:rsidRDefault="00263A18" w:rsidP="00263A18">
      <w:pPr>
        <w:pStyle w:val="GIPstandaard"/>
        <w:jc w:val="both"/>
      </w:pPr>
    </w:p>
    <w:p w:rsidR="00263A18" w:rsidRDefault="00263A18" w:rsidP="00263A18">
      <w:pPr>
        <w:pStyle w:val="GIPstandaard"/>
        <w:jc w:val="both"/>
      </w:pPr>
      <w:r>
        <w:t>De voorzieningen en uitgestelde belastingen zijn bijna 14% gedaald. Deze bedragen namelijk 76,64% in het huidige boekjaar. Dit komt doordat</w:t>
      </w:r>
    </w:p>
    <w:p w:rsidR="00263A18" w:rsidRDefault="00263A18" w:rsidP="00263A18">
      <w:pPr>
        <w:pStyle w:val="GIPstandaard"/>
        <w:numPr>
          <w:ilvl w:val="0"/>
          <w:numId w:val="11"/>
        </w:numPr>
        <w:jc w:val="both"/>
      </w:pPr>
      <w:r>
        <w:t>De voorzieningen voor risico’s en kosten met bijna 14% gedaald zijn. Deze bedragen namelijk 76,64%. Dit is ook het enige getal onder deze subcategorie.</w:t>
      </w:r>
    </w:p>
    <w:p w:rsidR="00263A18" w:rsidRDefault="00263A18" w:rsidP="00263A18">
      <w:pPr>
        <w:pStyle w:val="GIPstandaard"/>
        <w:jc w:val="both"/>
      </w:pPr>
    </w:p>
    <w:p w:rsidR="00263A18" w:rsidRDefault="00263A18" w:rsidP="00263A18">
      <w:pPr>
        <w:pStyle w:val="GIPstandaard"/>
        <w:jc w:val="both"/>
      </w:pPr>
      <w:r>
        <w:t>De schulden zijn met bijna 30% gedaald tegenover het vorige boekjaar. In het huidige boekjaar bedragen deze 70,39%. Deze daling komt doordat:</w:t>
      </w:r>
    </w:p>
    <w:p w:rsidR="00263A18" w:rsidRDefault="00263A18" w:rsidP="00263A18">
      <w:pPr>
        <w:pStyle w:val="GIPstandaard"/>
        <w:numPr>
          <w:ilvl w:val="0"/>
          <w:numId w:val="11"/>
        </w:numPr>
        <w:jc w:val="both"/>
      </w:pPr>
      <w:r>
        <w:t>De schulden op meer dan 1 jaar zijn gedaald met bijna 16%. Deze bedragen 84,62% in 2012.</w:t>
      </w:r>
    </w:p>
    <w:p w:rsidR="00263A18" w:rsidRDefault="00263A18" w:rsidP="00263A18">
      <w:pPr>
        <w:pStyle w:val="GIPstandaard"/>
        <w:numPr>
          <w:ilvl w:val="0"/>
          <w:numId w:val="11"/>
        </w:numPr>
        <w:jc w:val="both"/>
      </w:pPr>
      <w:r>
        <w:t>De schulden op ten hoogste 1 jaar die 62,48% bedraagt, zijn gedaald met bijna 38 %.</w:t>
      </w:r>
    </w:p>
    <w:p w:rsidR="00263A18" w:rsidRDefault="00263A18" w:rsidP="00263A18">
      <w:pPr>
        <w:pStyle w:val="GIPstandaard"/>
        <w:numPr>
          <w:ilvl w:val="0"/>
          <w:numId w:val="11"/>
        </w:numPr>
        <w:jc w:val="both"/>
      </w:pPr>
      <w:r>
        <w:t>De overlopende rekeningen met bijna 44% zijn gedaald. Deze bedragen namelijk 56,16 % in het huidige boekjaar.</w:t>
      </w:r>
    </w:p>
    <w:p w:rsidR="00263A18" w:rsidRDefault="00263A18" w:rsidP="00263A18">
      <w:pPr>
        <w:pStyle w:val="GIPstandaard"/>
        <w:ind w:left="720"/>
        <w:jc w:val="both"/>
      </w:pPr>
    </w:p>
    <w:p w:rsidR="00263A18" w:rsidRDefault="00263A18" w:rsidP="00263A18">
      <w:pPr>
        <w:pStyle w:val="GIPstandaard"/>
        <w:ind w:left="284"/>
        <w:jc w:val="both"/>
      </w:pPr>
      <w:r>
        <w:sym w:font="Wingdings" w:char="F0E0"/>
      </w:r>
      <w:r>
        <w:t xml:space="preserve"> Het totaal van de passiva is gedaald met 13%, deze bedraagt namelijk 87,47%. </w:t>
      </w:r>
    </w:p>
    <w:p w:rsidR="00263A18" w:rsidRDefault="00263A18" w:rsidP="00263A18">
      <w:pPr>
        <w:rPr>
          <w:rFonts w:ascii="Arial" w:hAnsi="Arial"/>
          <w:b/>
          <w:sz w:val="28"/>
        </w:rPr>
      </w:pPr>
    </w:p>
    <w:p w:rsidR="00263A18" w:rsidRDefault="00263A18" w:rsidP="00263A18">
      <w:pPr>
        <w:rPr>
          <w:rFonts w:ascii="Arial" w:hAnsi="Arial"/>
          <w:b/>
          <w:sz w:val="28"/>
        </w:rPr>
      </w:pPr>
    </w:p>
    <w:p w:rsidR="00263A18" w:rsidRDefault="00263A18" w:rsidP="00263A18">
      <w:pPr>
        <w:pStyle w:val="GIPtitelNiv3"/>
        <w:numPr>
          <w:ilvl w:val="3"/>
          <w:numId w:val="1"/>
        </w:numPr>
        <w:ind w:left="1134" w:hanging="1134"/>
        <w:jc w:val="both"/>
      </w:pPr>
      <w:bookmarkStart w:id="14" w:name="_Toc379030545"/>
      <w:r>
        <w:t>Resultatenrekening</w:t>
      </w:r>
      <w:bookmarkEnd w:id="14"/>
    </w:p>
    <w:p w:rsidR="00263A18" w:rsidRDefault="00263A18" w:rsidP="00263A18">
      <w:pPr>
        <w:pStyle w:val="GIPstandaard"/>
      </w:pPr>
    </w:p>
    <w:p w:rsidR="00263A18" w:rsidRDefault="00263A18" w:rsidP="00263A18">
      <w:pPr>
        <w:pStyle w:val="GIPstandaard"/>
        <w:jc w:val="both"/>
      </w:pPr>
      <w:r>
        <w:t>De horizontale analyse van de resultatenrekening is als volgt:</w:t>
      </w:r>
    </w:p>
    <w:p w:rsidR="00263A18" w:rsidRDefault="00263A18" w:rsidP="00263A18">
      <w:pPr>
        <w:pStyle w:val="GIPstandaard"/>
        <w:jc w:val="both"/>
      </w:pPr>
    </w:p>
    <w:p w:rsidR="00263A18" w:rsidRDefault="00263A18" w:rsidP="00263A18">
      <w:pPr>
        <w:pStyle w:val="GIPstandaard"/>
        <w:numPr>
          <w:ilvl w:val="0"/>
          <w:numId w:val="12"/>
        </w:numPr>
        <w:jc w:val="both"/>
      </w:pPr>
      <w:r>
        <w:t>De bedrijfsopbrengsten bedragen 76,18% liggen bijna 14% onder het vergelijkingsprocent. Dit komt doordat de wijziging in voorraad van positief naar ver onder 0 is gedaald op 1 jaar.</w:t>
      </w:r>
    </w:p>
    <w:p w:rsidR="00263A18" w:rsidRDefault="00263A18" w:rsidP="00263A18">
      <w:pPr>
        <w:pStyle w:val="GIPstandaard"/>
        <w:jc w:val="both"/>
      </w:pPr>
    </w:p>
    <w:p w:rsidR="00263A18" w:rsidRDefault="00263A18" w:rsidP="00263A18">
      <w:pPr>
        <w:pStyle w:val="GIPstandaard"/>
        <w:numPr>
          <w:ilvl w:val="0"/>
          <w:numId w:val="12"/>
        </w:numPr>
        <w:jc w:val="both"/>
      </w:pPr>
      <w:r>
        <w:t>De bedrijfskosten zijn bijna 20% gedaald. Deze bedragen 80,77% voor 2012.</w:t>
      </w:r>
    </w:p>
    <w:p w:rsidR="00263A18" w:rsidRDefault="00263A18" w:rsidP="00263A18">
      <w:pPr>
        <w:pStyle w:val="GIPstandaard"/>
        <w:ind w:left="720"/>
        <w:jc w:val="both"/>
      </w:pPr>
    </w:p>
    <w:p w:rsidR="00263A18" w:rsidRDefault="00263A18" w:rsidP="00263A18">
      <w:pPr>
        <w:pStyle w:val="GIPstandaard"/>
        <w:numPr>
          <w:ilvl w:val="0"/>
          <w:numId w:val="12"/>
        </w:numPr>
        <w:jc w:val="both"/>
      </w:pPr>
      <w:r>
        <w:t>De bedrijfswinst bedraagt 47,08%. Dit betekent dat deze bijna 53% is gedaald tegenover het vorige boekjaar. Dit kan betekenen dat ze een slecht jaar hadden.</w:t>
      </w:r>
    </w:p>
    <w:p w:rsidR="00263A18" w:rsidRDefault="00263A18" w:rsidP="00263A18">
      <w:pPr>
        <w:pStyle w:val="GIPstandaard"/>
        <w:ind w:left="720"/>
        <w:jc w:val="both"/>
      </w:pPr>
    </w:p>
    <w:p w:rsidR="00263A18" w:rsidRDefault="00263A18" w:rsidP="00263A18">
      <w:pPr>
        <w:pStyle w:val="GIPstandaard"/>
        <w:numPr>
          <w:ilvl w:val="0"/>
          <w:numId w:val="12"/>
        </w:numPr>
        <w:jc w:val="both"/>
      </w:pPr>
      <w:r>
        <w:t>De te bestemmen winst van het boekjaar bedraagt 31,18% dit betekent dat deze bijna 70% gedaald is. Dit is een hele slechte evolutie voor het bedrijf.</w:t>
      </w:r>
    </w:p>
    <w:p w:rsidR="00263A18" w:rsidRDefault="00263A18" w:rsidP="00263A18">
      <w:pPr>
        <w:pStyle w:val="GIPstandaard"/>
      </w:pPr>
    </w:p>
    <w:p w:rsidR="00263A18" w:rsidRDefault="00263A18" w:rsidP="00263A18">
      <w:pPr>
        <w:pStyle w:val="GIPtitelNiv3"/>
        <w:jc w:val="both"/>
      </w:pPr>
    </w:p>
    <w:p w:rsidR="00263A18" w:rsidRDefault="00263A18" w:rsidP="00263A18">
      <w:pPr>
        <w:rPr>
          <w:rFonts w:ascii="Arial" w:hAnsi="Arial"/>
          <w:b/>
          <w:sz w:val="28"/>
        </w:rPr>
      </w:pPr>
      <w:r>
        <w:br w:type="page"/>
      </w:r>
    </w:p>
    <w:p w:rsidR="00263A18" w:rsidRDefault="00263A18" w:rsidP="00263A18">
      <w:pPr>
        <w:pStyle w:val="GIPtitelNiv2"/>
        <w:numPr>
          <w:ilvl w:val="2"/>
          <w:numId w:val="1"/>
        </w:numPr>
        <w:ind w:left="1134" w:hanging="1134"/>
        <w:jc w:val="both"/>
      </w:pPr>
      <w:bookmarkStart w:id="15" w:name="_Toc379030546"/>
      <w:r>
        <w:lastRenderedPageBreak/>
        <w:t>Liquiditeit</w:t>
      </w:r>
      <w:bookmarkEnd w:id="15"/>
    </w:p>
    <w:p w:rsidR="00263A18" w:rsidRDefault="00263A18" w:rsidP="00263A18">
      <w:pPr>
        <w:pStyle w:val="GIPtitelNiv2"/>
        <w:ind w:left="1080"/>
        <w:jc w:val="both"/>
      </w:pPr>
    </w:p>
    <w:p w:rsidR="00263A18" w:rsidRPr="00504767" w:rsidRDefault="00263A18" w:rsidP="00263A18">
      <w:pPr>
        <w:pStyle w:val="GIPstandaard"/>
        <w:jc w:val="both"/>
      </w:pPr>
      <w:r w:rsidRPr="00504767">
        <w:t>De liquiditeit wordt berekend om te kijken of de onderneming in staat is om het vreemd vermogen op korte termijn terug te betalen met de vlottende activa op korte termijn</w:t>
      </w:r>
      <w:r>
        <w:t>.</w:t>
      </w:r>
    </w:p>
    <w:p w:rsidR="00263A18" w:rsidRDefault="00263A18" w:rsidP="00263A18">
      <w:pPr>
        <w:pStyle w:val="GIPtitelNiv2"/>
        <w:ind w:left="720"/>
        <w:jc w:val="both"/>
      </w:pPr>
    </w:p>
    <w:p w:rsidR="00263A18" w:rsidRDefault="00263A18" w:rsidP="00263A18">
      <w:pPr>
        <w:pStyle w:val="GIPtitelNiv2"/>
        <w:ind w:left="720"/>
        <w:jc w:val="both"/>
      </w:pPr>
    </w:p>
    <w:p w:rsidR="00263A18" w:rsidRDefault="00263A18" w:rsidP="00263A18">
      <w:pPr>
        <w:pStyle w:val="GIPtitelNiv3"/>
        <w:numPr>
          <w:ilvl w:val="3"/>
          <w:numId w:val="1"/>
        </w:numPr>
        <w:ind w:left="1134" w:hanging="1134"/>
        <w:jc w:val="both"/>
      </w:pPr>
      <w:bookmarkStart w:id="16" w:name="_Toc379030547"/>
      <w:proofErr w:type="spellStart"/>
      <w:r>
        <w:t>Current</w:t>
      </w:r>
      <w:proofErr w:type="spellEnd"/>
      <w:r>
        <w:t xml:space="preserve"> ratio</w:t>
      </w:r>
      <w:bookmarkEnd w:id="16"/>
    </w:p>
    <w:p w:rsidR="00263A18" w:rsidRDefault="00263A18" w:rsidP="00263A18">
      <w:pPr>
        <w:pStyle w:val="GIPtitelNiv3"/>
        <w:jc w:val="both"/>
      </w:pPr>
    </w:p>
    <w:p w:rsidR="00263A18" w:rsidRDefault="00263A18" w:rsidP="00263A18">
      <w:pPr>
        <w:pStyle w:val="GIPstandaard"/>
      </w:pPr>
      <m:oMathPara>
        <m:oMath>
          <m:r>
            <w:rPr>
              <w:rFonts w:ascii="Cambria Math" w:hAnsi="Cambria Math"/>
            </w:rPr>
            <m:t xml:space="preserve">Liquiditeit in ruime zin= </m:t>
          </m:r>
          <m:f>
            <m:fPr>
              <m:ctrlPr>
                <w:rPr>
                  <w:rFonts w:ascii="Cambria Math" w:hAnsi="Cambria Math"/>
                  <w:i/>
                </w:rPr>
              </m:ctrlPr>
            </m:fPr>
            <m:num>
              <m:r>
                <w:rPr>
                  <w:rFonts w:ascii="Cambria Math" w:hAnsi="Cambria Math"/>
                </w:rPr>
                <m:t>(Aangepaste vlottende activa)</m:t>
              </m:r>
            </m:num>
            <m:den>
              <m:r>
                <w:rPr>
                  <w:rFonts w:ascii="Cambria Math" w:hAnsi="Cambria Math"/>
                </w:rPr>
                <m:t>Vreemd vermogen op korte termijn</m:t>
              </m:r>
            </m:den>
          </m:f>
        </m:oMath>
      </m:oMathPara>
    </w:p>
    <w:p w:rsidR="00263A18" w:rsidRDefault="00263A18" w:rsidP="00263A18">
      <w:pPr>
        <w:pStyle w:val="GIPstandaar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521"/>
      </w:tblGrid>
      <w:tr w:rsidR="00263A18" w:rsidTr="00564B71">
        <w:tc>
          <w:tcPr>
            <w:tcW w:w="4520" w:type="dxa"/>
          </w:tcPr>
          <w:p w:rsidR="00263A18" w:rsidRDefault="00263A18" w:rsidP="00564B71">
            <w:pPr>
              <w:pStyle w:val="GIPstandaard"/>
              <w:jc w:val="center"/>
            </w:pPr>
            <w:r>
              <w:t>2011</w:t>
            </w:r>
          </w:p>
        </w:tc>
        <w:tc>
          <w:tcPr>
            <w:tcW w:w="4521" w:type="dxa"/>
          </w:tcPr>
          <w:p w:rsidR="00263A18" w:rsidRDefault="00263A18" w:rsidP="00564B71">
            <w:pPr>
              <w:pStyle w:val="GIPstandaard"/>
              <w:jc w:val="center"/>
            </w:pPr>
            <w:r>
              <w:t>2012</w:t>
            </w:r>
          </w:p>
        </w:tc>
      </w:tr>
      <w:tr w:rsidR="00263A18" w:rsidTr="00564B71">
        <w:tc>
          <w:tcPr>
            <w:tcW w:w="4520" w:type="dxa"/>
          </w:tcPr>
          <w:p w:rsidR="00263A18" w:rsidRDefault="00263A18" w:rsidP="00564B71">
            <w:pPr>
              <w:pStyle w:val="GIPstandaard"/>
              <w:jc w:val="center"/>
            </w:pPr>
            <m:oMathPara>
              <m:oMath>
                <m:f>
                  <m:fPr>
                    <m:ctrlPr>
                      <w:rPr>
                        <w:rFonts w:ascii="Cambria Math" w:hAnsi="Cambria Math"/>
                        <w:i/>
                      </w:rPr>
                    </m:ctrlPr>
                  </m:fPr>
                  <m:num>
                    <m:r>
                      <w:rPr>
                        <w:rFonts w:ascii="Cambria Math" w:hAnsi="Cambria Math"/>
                      </w:rPr>
                      <m:t>(7876857,00-0,00)</m:t>
                    </m:r>
                  </m:num>
                  <m:den>
                    <m:r>
                      <w:rPr>
                        <w:rFonts w:ascii="Cambria Math" w:hAnsi="Cambria Math"/>
                      </w:rPr>
                      <m:t>(3506422,00+42,00)</m:t>
                    </m:r>
                  </m:den>
                </m:f>
                <m:r>
                  <w:rPr>
                    <w:rFonts w:ascii="Cambria Math" w:hAnsi="Cambria Math"/>
                  </w:rPr>
                  <m:t>=2,25</m:t>
                </m:r>
              </m:oMath>
            </m:oMathPara>
          </w:p>
        </w:tc>
        <w:tc>
          <w:tcPr>
            <w:tcW w:w="4521" w:type="dxa"/>
          </w:tcPr>
          <w:p w:rsidR="00263A18" w:rsidRDefault="00263A18" w:rsidP="00564B71">
            <w:pPr>
              <w:pStyle w:val="GIPstandaard"/>
              <w:jc w:val="center"/>
            </w:pPr>
            <m:oMathPara>
              <m:oMath>
                <m:f>
                  <m:fPr>
                    <m:ctrlPr>
                      <w:rPr>
                        <w:rFonts w:ascii="Cambria Math" w:hAnsi="Cambria Math"/>
                        <w:i/>
                      </w:rPr>
                    </m:ctrlPr>
                  </m:fPr>
                  <m:num>
                    <m:r>
                      <w:rPr>
                        <w:rFonts w:ascii="Cambria Math" w:hAnsi="Cambria Math"/>
                      </w:rPr>
                      <m:t>(6867710,00-26604,00)</m:t>
                    </m:r>
                  </m:num>
                  <m:den>
                    <m:r>
                      <w:rPr>
                        <w:rFonts w:ascii="Cambria Math" w:hAnsi="Cambria Math"/>
                      </w:rPr>
                      <m:t>(2190753,00+41,00)</m:t>
                    </m:r>
                  </m:den>
                </m:f>
                <m:r>
                  <w:rPr>
                    <w:rFonts w:ascii="Cambria Math" w:hAnsi="Cambria Math"/>
                  </w:rPr>
                  <m:t>=3,12</m:t>
                </m:r>
              </m:oMath>
            </m:oMathPara>
          </w:p>
        </w:tc>
      </w:tr>
    </w:tbl>
    <w:p w:rsidR="00263A18" w:rsidRDefault="00263A18" w:rsidP="00263A18">
      <w:pPr>
        <w:pStyle w:val="GIPstandaard"/>
      </w:pPr>
    </w:p>
    <w:p w:rsidR="00263A18" w:rsidRDefault="00263A18" w:rsidP="00263A18">
      <w:pPr>
        <w:pStyle w:val="GIPstandaard"/>
        <w:jc w:val="both"/>
      </w:pPr>
      <w:r>
        <w:t xml:space="preserve">Indupol is een liquide onderneming want de </w:t>
      </w:r>
      <w:proofErr w:type="spellStart"/>
      <w:r>
        <w:t>current</w:t>
      </w:r>
      <w:proofErr w:type="spellEnd"/>
      <w:r>
        <w:t xml:space="preserve"> ratio bevindt zich, in zowel 2011 als in 2012, ver boven de 1. Een onderneming kan zijn vreemd vermogen betalen op korte termijn als de </w:t>
      </w:r>
      <w:proofErr w:type="spellStart"/>
      <w:r>
        <w:t>current</w:t>
      </w:r>
      <w:proofErr w:type="spellEnd"/>
      <w:r>
        <w:t xml:space="preserve"> ratio groter is als 1. Er heeft zelfs een stijging van bijna 1 plaatsgevonden. Dit betekent dat Indupol er goed voor staat. </w:t>
      </w:r>
    </w:p>
    <w:p w:rsidR="00263A18" w:rsidRDefault="00263A18" w:rsidP="00263A18">
      <w:pPr>
        <w:pStyle w:val="GIPtitelNiv3"/>
        <w:jc w:val="both"/>
      </w:pPr>
    </w:p>
    <w:p w:rsidR="00263A18" w:rsidRDefault="00263A18" w:rsidP="00263A18">
      <w:pPr>
        <w:rPr>
          <w:rFonts w:ascii="Arial" w:hAnsi="Arial"/>
          <w:b/>
          <w:sz w:val="28"/>
        </w:rPr>
      </w:pPr>
    </w:p>
    <w:p w:rsidR="00263A18" w:rsidRDefault="00263A18" w:rsidP="00263A18">
      <w:pPr>
        <w:pStyle w:val="GIPtitelNiv3"/>
        <w:numPr>
          <w:ilvl w:val="3"/>
          <w:numId w:val="1"/>
        </w:numPr>
        <w:ind w:left="1134" w:hanging="1134"/>
        <w:jc w:val="both"/>
      </w:pPr>
      <w:bookmarkStart w:id="17" w:name="_Toc379030548"/>
      <w:proofErr w:type="spellStart"/>
      <w:r>
        <w:t>Quick</w:t>
      </w:r>
      <w:proofErr w:type="spellEnd"/>
      <w:r>
        <w:t xml:space="preserve"> ratio</w:t>
      </w:r>
      <w:bookmarkEnd w:id="17"/>
    </w:p>
    <w:p w:rsidR="00263A18" w:rsidRDefault="00263A18" w:rsidP="00263A18">
      <w:pPr>
        <w:pStyle w:val="GIPtitelNiv3"/>
        <w:ind w:left="1440"/>
        <w:jc w:val="both"/>
      </w:pPr>
    </w:p>
    <w:p w:rsidR="00263A18" w:rsidRDefault="00263A18" w:rsidP="00263A18">
      <w:pPr>
        <w:pStyle w:val="GIPstandaard"/>
      </w:pPr>
      <m:oMathPara>
        <m:oMath>
          <m:r>
            <w:rPr>
              <w:rFonts w:ascii="Cambria Math" w:hAnsi="Cambria Math"/>
            </w:rPr>
            <m:t>Liquiditeit in enge zin</m:t>
          </m:r>
          <m:f>
            <m:fPr>
              <m:ctrlPr>
                <w:rPr>
                  <w:rFonts w:ascii="Cambria Math" w:hAnsi="Cambria Math"/>
                  <w:i/>
                </w:rPr>
              </m:ctrlPr>
            </m:fPr>
            <m:num>
              <m:d>
                <m:dPr>
                  <m:ctrlPr>
                    <w:rPr>
                      <w:rFonts w:ascii="Cambria Math" w:hAnsi="Cambria Math"/>
                      <w:i/>
                    </w:rPr>
                  </m:ctrlPr>
                </m:dPr>
                <m:e>
                  <m:r>
                    <w:rPr>
                      <w:rFonts w:ascii="Cambria Math" w:hAnsi="Cambria Math"/>
                    </w:rPr>
                    <m:t>aangepaste</m:t>
                  </m:r>
                </m:e>
              </m:d>
              <m:r>
                <w:rPr>
                  <w:rFonts w:ascii="Cambria Math" w:hAnsi="Cambria Math"/>
                </w:rPr>
                <m:t>vlottende activa-voorraden</m:t>
              </m:r>
            </m:num>
            <m:den>
              <m:r>
                <w:rPr>
                  <w:rFonts w:ascii="Cambria Math" w:hAnsi="Cambria Math"/>
                </w:rPr>
                <m:t>Vreemd vermogen op korte termijn</m:t>
              </m:r>
            </m:den>
          </m:f>
        </m:oMath>
      </m:oMathPara>
    </w:p>
    <w:p w:rsidR="00263A18" w:rsidRDefault="00263A18" w:rsidP="00263A18">
      <w:pPr>
        <w:pStyle w:val="GIPstandaard"/>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521"/>
      </w:tblGrid>
      <w:tr w:rsidR="00263A18" w:rsidTr="00564B71">
        <w:trPr>
          <w:jc w:val="center"/>
        </w:trPr>
        <w:tc>
          <w:tcPr>
            <w:tcW w:w="4520" w:type="dxa"/>
          </w:tcPr>
          <w:p w:rsidR="00263A18" w:rsidRDefault="00263A18" w:rsidP="00564B71">
            <w:pPr>
              <w:pStyle w:val="GIPstandaard"/>
              <w:jc w:val="center"/>
            </w:pPr>
            <w:r>
              <w:t>2011</w:t>
            </w:r>
          </w:p>
        </w:tc>
        <w:tc>
          <w:tcPr>
            <w:tcW w:w="4521" w:type="dxa"/>
          </w:tcPr>
          <w:p w:rsidR="00263A18" w:rsidRDefault="00263A18" w:rsidP="00564B71">
            <w:pPr>
              <w:pStyle w:val="GIPstandaard"/>
              <w:jc w:val="center"/>
            </w:pPr>
            <w:r>
              <w:t>2012</w:t>
            </w:r>
          </w:p>
        </w:tc>
      </w:tr>
      <w:tr w:rsidR="00263A18" w:rsidTr="00564B71">
        <w:trPr>
          <w:jc w:val="center"/>
        </w:trPr>
        <w:tc>
          <w:tcPr>
            <w:tcW w:w="4520" w:type="dxa"/>
          </w:tcPr>
          <w:p w:rsidR="00263A18" w:rsidRDefault="00263A18" w:rsidP="00564B71">
            <w:pPr>
              <w:pStyle w:val="GIPstandaard"/>
            </w:pPr>
            <m:oMathPara>
              <m:oMath>
                <m:f>
                  <m:fPr>
                    <m:ctrlPr>
                      <w:rPr>
                        <w:rFonts w:ascii="Cambria Math" w:hAnsi="Cambria Math"/>
                        <w:i/>
                      </w:rPr>
                    </m:ctrlPr>
                  </m:fPr>
                  <m:num>
                    <m:r>
                      <w:rPr>
                        <w:rFonts w:ascii="Cambria Math" w:hAnsi="Cambria Math"/>
                      </w:rPr>
                      <m:t>(7876857-0-1720454)</m:t>
                    </m:r>
                  </m:num>
                  <m:den>
                    <m:r>
                      <w:rPr>
                        <w:rFonts w:ascii="Cambria Math" w:hAnsi="Cambria Math"/>
                      </w:rPr>
                      <m:t>(3506422+73)</m:t>
                    </m:r>
                  </m:den>
                </m:f>
                <m:r>
                  <w:rPr>
                    <w:rFonts w:ascii="Cambria Math" w:hAnsi="Cambria Math"/>
                  </w:rPr>
                  <m:t>=1,76</m:t>
                </m:r>
              </m:oMath>
            </m:oMathPara>
          </w:p>
        </w:tc>
        <w:tc>
          <w:tcPr>
            <w:tcW w:w="4521" w:type="dxa"/>
          </w:tcPr>
          <w:p w:rsidR="00263A18" w:rsidRDefault="00263A18" w:rsidP="00564B71">
            <w:pPr>
              <w:pStyle w:val="GIPstandaard"/>
            </w:pPr>
            <m:oMathPara>
              <m:oMath>
                <m:f>
                  <m:fPr>
                    <m:ctrlPr>
                      <w:rPr>
                        <w:rFonts w:ascii="Cambria Math" w:hAnsi="Cambria Math"/>
                        <w:i/>
                      </w:rPr>
                    </m:ctrlPr>
                  </m:fPr>
                  <m:num>
                    <m:r>
                      <w:rPr>
                        <w:rFonts w:ascii="Cambria Math" w:hAnsi="Cambria Math"/>
                      </w:rPr>
                      <m:t>(6867710-26604-1531515)</m:t>
                    </m:r>
                  </m:num>
                  <m:den>
                    <m:r>
                      <w:rPr>
                        <w:rFonts w:ascii="Cambria Math" w:hAnsi="Cambria Math"/>
                      </w:rPr>
                      <m:t>(2190753+41)</m:t>
                    </m:r>
                  </m:den>
                </m:f>
                <m:r>
                  <w:rPr>
                    <w:rFonts w:ascii="Cambria Math" w:hAnsi="Cambria Math"/>
                  </w:rPr>
                  <m:t>=2,42</m:t>
                </m:r>
              </m:oMath>
            </m:oMathPara>
          </w:p>
        </w:tc>
      </w:tr>
    </w:tbl>
    <w:p w:rsidR="00263A18" w:rsidRDefault="00263A18" w:rsidP="00263A18">
      <w:pPr>
        <w:pStyle w:val="GIPstandaard"/>
      </w:pPr>
    </w:p>
    <w:p w:rsidR="00263A18" w:rsidRDefault="00263A18" w:rsidP="00263A18">
      <w:pPr>
        <w:pStyle w:val="GIPstandaard"/>
        <w:jc w:val="both"/>
      </w:pPr>
      <w:r>
        <w:t xml:space="preserve">Ook hier is Indupol weer een liquide onderneming want de </w:t>
      </w:r>
      <w:proofErr w:type="spellStart"/>
      <w:r>
        <w:t>quick</w:t>
      </w:r>
      <w:proofErr w:type="spellEnd"/>
      <w:r>
        <w:t xml:space="preserve"> ratio bevindt zich voor beide jaren boven de 1. Maar een te grote liquiditeit is ook niet altijd goed omdat:</w:t>
      </w:r>
    </w:p>
    <w:p w:rsidR="00263A18" w:rsidRDefault="00263A18" w:rsidP="00263A18">
      <w:pPr>
        <w:pStyle w:val="GIPstandaard"/>
        <w:numPr>
          <w:ilvl w:val="0"/>
          <w:numId w:val="7"/>
        </w:numPr>
        <w:jc w:val="both"/>
      </w:pPr>
      <w:r>
        <w:t>Het bedrijf dan te veel investeert in vlottende activa, dit kan komen doordat er klanten niet goed betalen</w:t>
      </w:r>
    </w:p>
    <w:p w:rsidR="00263A18" w:rsidRDefault="00263A18" w:rsidP="00263A18">
      <w:pPr>
        <w:pStyle w:val="GIPstandaard"/>
        <w:numPr>
          <w:ilvl w:val="0"/>
          <w:numId w:val="7"/>
        </w:numPr>
        <w:jc w:val="both"/>
      </w:pPr>
      <w:r>
        <w:t>Er te veel voorraden of handelsvorderingen zijn.</w:t>
      </w:r>
    </w:p>
    <w:p w:rsidR="00263A18" w:rsidRDefault="00263A18" w:rsidP="00263A18">
      <w:pPr>
        <w:pStyle w:val="GIPstandaard"/>
        <w:numPr>
          <w:ilvl w:val="0"/>
          <w:numId w:val="7"/>
        </w:numPr>
        <w:jc w:val="both"/>
      </w:pPr>
      <w:r>
        <w:t>Het bedrijf te weinig met vreemd vermogen en te veel met eigen middelen werkt.</w:t>
      </w:r>
    </w:p>
    <w:p w:rsidR="00263A18" w:rsidRDefault="00263A18" w:rsidP="00263A18">
      <w:pPr>
        <w:pStyle w:val="GIPstandaard"/>
        <w:ind w:left="720"/>
        <w:jc w:val="both"/>
      </w:pPr>
    </w:p>
    <w:p w:rsidR="00263A18" w:rsidRDefault="00263A18" w:rsidP="00263A18">
      <w:pPr>
        <w:pStyle w:val="GIPstandaard"/>
        <w:ind w:left="720"/>
        <w:jc w:val="both"/>
      </w:pPr>
      <w:r>
        <w:t xml:space="preserve">U krijgt een veel duidelijker beeld door de </w:t>
      </w:r>
      <w:proofErr w:type="spellStart"/>
      <w:r>
        <w:t>quick</w:t>
      </w:r>
      <w:proofErr w:type="spellEnd"/>
      <w:r>
        <w:t xml:space="preserve"> ratio doordat hier de voorraden wordt afgetrokken. Dit verklaart ook het verschil tussen de </w:t>
      </w:r>
      <w:proofErr w:type="spellStart"/>
      <w:r>
        <w:t>quick</w:t>
      </w:r>
      <w:proofErr w:type="spellEnd"/>
      <w:r>
        <w:t xml:space="preserve"> ratio en de </w:t>
      </w:r>
      <w:proofErr w:type="spellStart"/>
      <w:r>
        <w:t>current</w:t>
      </w:r>
      <w:proofErr w:type="spellEnd"/>
      <w:r>
        <w:t xml:space="preserve"> ratio.</w:t>
      </w:r>
    </w:p>
    <w:p w:rsidR="00263A18" w:rsidRDefault="00263A18" w:rsidP="00263A18">
      <w:pPr>
        <w:pStyle w:val="GIPstandaard"/>
      </w:pPr>
    </w:p>
    <w:p w:rsidR="00263A18" w:rsidRDefault="00263A18" w:rsidP="00263A18">
      <w:pPr>
        <w:rPr>
          <w:rFonts w:ascii="Arial" w:hAnsi="Arial"/>
          <w:b/>
          <w:sz w:val="28"/>
        </w:rPr>
      </w:pPr>
      <w:r>
        <w:br w:type="page"/>
      </w:r>
    </w:p>
    <w:p w:rsidR="00263A18" w:rsidRDefault="00263A18" w:rsidP="00263A18">
      <w:pPr>
        <w:pStyle w:val="GIPtitelNiv3"/>
        <w:numPr>
          <w:ilvl w:val="3"/>
          <w:numId w:val="1"/>
        </w:numPr>
        <w:ind w:left="1134" w:hanging="1134"/>
        <w:jc w:val="both"/>
      </w:pPr>
      <w:bookmarkStart w:id="18" w:name="_Toc379030549"/>
      <w:r>
        <w:lastRenderedPageBreak/>
        <w:t>Solvabiliteit</w:t>
      </w:r>
      <w:bookmarkEnd w:id="18"/>
    </w:p>
    <w:p w:rsidR="00263A18" w:rsidRDefault="00263A18" w:rsidP="00263A18">
      <w:pPr>
        <w:pStyle w:val="GIPtitelNiv3"/>
        <w:jc w:val="both"/>
      </w:pPr>
    </w:p>
    <w:p w:rsidR="00263A18" w:rsidRDefault="00263A18" w:rsidP="00263A18">
      <w:pPr>
        <w:pStyle w:val="GIPstandaard"/>
        <w:jc w:val="both"/>
      </w:pPr>
      <w:r>
        <w:t xml:space="preserve">Met de solvabiliteit kunnen we nagaan of de onderneming in staat is om zijn schulden op korte en op lange termijn af te lossen. </w:t>
      </w:r>
    </w:p>
    <w:p w:rsidR="00263A18" w:rsidRDefault="00263A18" w:rsidP="00263A18">
      <w:pPr>
        <w:pStyle w:val="GIPstandaard"/>
        <w:jc w:val="both"/>
      </w:pPr>
    </w:p>
    <w:p w:rsidR="00263A18" w:rsidRDefault="00263A18" w:rsidP="00263A18">
      <w:pPr>
        <w:pStyle w:val="GIPstandaard"/>
        <w:jc w:val="both"/>
      </w:pPr>
      <m:oMathPara>
        <m:oMath>
          <m:r>
            <w:rPr>
              <w:rFonts w:ascii="Cambria Math" w:hAnsi="Cambria Math"/>
            </w:rPr>
            <m:t>Solvabiliteit=</m:t>
          </m:r>
          <m:f>
            <m:fPr>
              <m:ctrlPr>
                <w:rPr>
                  <w:rFonts w:ascii="Cambria Math" w:hAnsi="Cambria Math"/>
                  <w:i/>
                </w:rPr>
              </m:ctrlPr>
            </m:fPr>
            <m:num>
              <m:r>
                <w:rPr>
                  <w:rFonts w:ascii="Cambria Math" w:hAnsi="Cambria Math"/>
                </w:rPr>
                <m:t>Eigen vermogen</m:t>
              </m:r>
            </m:num>
            <m:den>
              <m:r>
                <w:rPr>
                  <w:rFonts w:ascii="Cambria Math" w:hAnsi="Cambria Math"/>
                </w:rPr>
                <m:t>Totaal vermogen</m:t>
              </m:r>
            </m:den>
          </m:f>
          <m:r>
            <w:rPr>
              <w:rFonts w:ascii="Cambria Math" w:hAnsi="Cambria Math"/>
            </w:rPr>
            <m:t xml:space="preserve"> x 100</m:t>
          </m:r>
        </m:oMath>
      </m:oMathPara>
    </w:p>
    <w:p w:rsidR="00263A18" w:rsidRDefault="00263A18" w:rsidP="00263A18">
      <w:pPr>
        <w:pStyle w:val="GIPstandaard"/>
        <w:jc w:val="both"/>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521"/>
      </w:tblGrid>
      <w:tr w:rsidR="00263A18" w:rsidTr="00564B71">
        <w:trPr>
          <w:jc w:val="center"/>
        </w:trPr>
        <w:tc>
          <w:tcPr>
            <w:tcW w:w="4520" w:type="dxa"/>
          </w:tcPr>
          <w:p w:rsidR="00263A18" w:rsidRDefault="00263A18" w:rsidP="00564B71">
            <w:pPr>
              <w:pStyle w:val="GIPstandaard"/>
              <w:jc w:val="center"/>
            </w:pPr>
            <w:r>
              <w:t>2011</w:t>
            </w:r>
          </w:p>
        </w:tc>
        <w:tc>
          <w:tcPr>
            <w:tcW w:w="4521" w:type="dxa"/>
          </w:tcPr>
          <w:p w:rsidR="00263A18" w:rsidRDefault="00263A18" w:rsidP="00564B71">
            <w:pPr>
              <w:pStyle w:val="GIPstandaard"/>
              <w:jc w:val="center"/>
            </w:pPr>
            <w:r>
              <w:t>2012</w:t>
            </w:r>
          </w:p>
        </w:tc>
      </w:tr>
      <w:tr w:rsidR="00263A18" w:rsidTr="00564B71">
        <w:trPr>
          <w:jc w:val="center"/>
        </w:trPr>
        <w:tc>
          <w:tcPr>
            <w:tcW w:w="4520" w:type="dxa"/>
          </w:tcPr>
          <w:p w:rsidR="00263A18" w:rsidRDefault="00263A18" w:rsidP="00564B71">
            <w:pPr>
              <w:pStyle w:val="GIPstandaard"/>
              <w:jc w:val="both"/>
            </w:pPr>
            <m:oMathPara>
              <m:oMath>
                <m:f>
                  <m:fPr>
                    <m:ctrlPr>
                      <w:rPr>
                        <w:rFonts w:ascii="Cambria Math" w:hAnsi="Cambria Math"/>
                        <w:i/>
                      </w:rPr>
                    </m:ctrlPr>
                  </m:fPr>
                  <m:num>
                    <m:r>
                      <w:rPr>
                        <w:rFonts w:ascii="Cambria Math" w:hAnsi="Cambria Math"/>
                      </w:rPr>
                      <m:t>8303076,00</m:t>
                    </m:r>
                  </m:num>
                  <m:den>
                    <m:r>
                      <w:rPr>
                        <w:rFonts w:ascii="Cambria Math" w:hAnsi="Cambria Math"/>
                      </w:rPr>
                      <m:t>14079829,00</m:t>
                    </m:r>
                  </m:den>
                </m:f>
                <m:r>
                  <w:rPr>
                    <w:rFonts w:ascii="Cambria Math" w:hAnsi="Cambria Math"/>
                  </w:rPr>
                  <m:t>×100=59 %</m:t>
                </m:r>
              </m:oMath>
            </m:oMathPara>
          </w:p>
        </w:tc>
        <w:tc>
          <w:tcPr>
            <w:tcW w:w="4521" w:type="dxa"/>
          </w:tcPr>
          <w:p w:rsidR="00263A18" w:rsidRDefault="00263A18" w:rsidP="00564B71">
            <w:pPr>
              <w:pStyle w:val="GIPstandaard"/>
              <w:jc w:val="both"/>
            </w:pPr>
            <m:oMathPara>
              <m:oMath>
                <m:f>
                  <m:fPr>
                    <m:ctrlPr>
                      <w:rPr>
                        <w:rFonts w:ascii="Cambria Math" w:hAnsi="Cambria Math"/>
                        <w:i/>
                      </w:rPr>
                    </m:ctrlPr>
                  </m:fPr>
                  <m:num>
                    <m:r>
                      <w:rPr>
                        <w:rFonts w:ascii="Cambria Math" w:hAnsi="Cambria Math"/>
                      </w:rPr>
                      <m:t>8229775,00</m:t>
                    </m:r>
                  </m:num>
                  <m:den>
                    <m:r>
                      <w:rPr>
                        <w:rFonts w:ascii="Cambria Math" w:hAnsi="Cambria Math"/>
                      </w:rPr>
                      <m:t>12316015,00</m:t>
                    </m:r>
                  </m:den>
                </m:f>
                <m:r>
                  <w:rPr>
                    <w:rFonts w:ascii="Cambria Math" w:hAnsi="Cambria Math"/>
                  </w:rPr>
                  <m:t xml:space="preserve"> ×100=67 %</m:t>
                </m:r>
              </m:oMath>
            </m:oMathPara>
          </w:p>
        </w:tc>
      </w:tr>
    </w:tbl>
    <w:p w:rsidR="00263A18" w:rsidRDefault="00263A18" w:rsidP="00263A18">
      <w:pPr>
        <w:pStyle w:val="GIPstandaard"/>
        <w:jc w:val="both"/>
      </w:pPr>
    </w:p>
    <w:p w:rsidR="00263A18" w:rsidRDefault="00263A18" w:rsidP="00263A18">
      <w:pPr>
        <w:pStyle w:val="GIPstandaard"/>
        <w:jc w:val="both"/>
      </w:pPr>
      <w:r>
        <w:t>Er is een verbetering van solvabiliteit, er is namelijk een stijging van 8 %. Dit betekent dat Indupol de schulden kan af lossen. Deze stijging komt doordat de schulden redelijk gedaald zijn en het eigen vermogen maar heel licht is gedaald in verhouding met de schulden.</w:t>
      </w:r>
    </w:p>
    <w:p w:rsidR="00263A18" w:rsidRDefault="00263A18" w:rsidP="00263A18">
      <w:pPr>
        <w:rPr>
          <w:rFonts w:ascii="Arial" w:hAnsi="Arial"/>
          <w:b/>
          <w:sz w:val="28"/>
        </w:rPr>
      </w:pPr>
    </w:p>
    <w:p w:rsidR="00263A18" w:rsidRDefault="00263A18" w:rsidP="00263A18">
      <w:pPr>
        <w:pStyle w:val="GIPstandaard"/>
      </w:pPr>
      <w:r>
        <w:t xml:space="preserve">De solvabiliteit voor een productieonderneming moet minimaal 33% eigen vermogen zijn en voor dienstenonderneming moet deze minimaal 25% eigen vermogen zijn. </w:t>
      </w:r>
      <w:r>
        <w:br/>
      </w:r>
    </w:p>
    <w:p w:rsidR="00263A18" w:rsidRDefault="00263A18" w:rsidP="00263A18">
      <w:pPr>
        <w:pStyle w:val="GIPstandaard"/>
      </w:pPr>
      <w:r>
        <w:t>Indupol is een productieonderneming en de solvabiliteit moet dus minimaal 33% zijn. De solvabiliteit van Indupol bedraagt ook minimaal 33%. Deze verdubbeld zelf bijna voor het eerste boekjaar en is verdubbeld in het tweede boekjaar.</w:t>
      </w:r>
    </w:p>
    <w:p w:rsidR="00263A18" w:rsidRDefault="00263A18" w:rsidP="00263A18">
      <w:pPr>
        <w:rPr>
          <w:rFonts w:ascii="Arial" w:hAnsi="Arial"/>
          <w:b/>
          <w:sz w:val="28"/>
        </w:rPr>
      </w:pPr>
    </w:p>
    <w:p w:rsidR="00263A18" w:rsidRDefault="00263A18" w:rsidP="00263A18">
      <w:pPr>
        <w:rPr>
          <w:rFonts w:ascii="Arial" w:hAnsi="Arial"/>
          <w:b/>
          <w:sz w:val="28"/>
        </w:rPr>
      </w:pPr>
    </w:p>
    <w:p w:rsidR="00263A18" w:rsidRDefault="00263A18" w:rsidP="00263A18">
      <w:pPr>
        <w:rPr>
          <w:rFonts w:ascii="Arial" w:hAnsi="Arial"/>
          <w:b/>
          <w:sz w:val="28"/>
        </w:rPr>
      </w:pPr>
      <w:r>
        <w:br w:type="page"/>
      </w:r>
    </w:p>
    <w:p w:rsidR="00263A18" w:rsidRDefault="00263A18" w:rsidP="00263A18">
      <w:pPr>
        <w:pStyle w:val="GIPtitelNiv3"/>
        <w:numPr>
          <w:ilvl w:val="3"/>
          <w:numId w:val="1"/>
        </w:numPr>
        <w:ind w:left="1134" w:hanging="1134"/>
        <w:jc w:val="both"/>
      </w:pPr>
      <w:bookmarkStart w:id="19" w:name="_Toc379030550"/>
      <w:r>
        <w:lastRenderedPageBreak/>
        <w:t>Rendabiliteit eigen vermogen</w:t>
      </w:r>
      <w:bookmarkEnd w:id="19"/>
    </w:p>
    <w:p w:rsidR="00263A18" w:rsidRDefault="00263A18" w:rsidP="00263A18">
      <w:pPr>
        <w:pStyle w:val="GIPstandaard"/>
        <w:jc w:val="both"/>
      </w:pPr>
    </w:p>
    <w:p w:rsidR="00263A18" w:rsidRDefault="00263A18" w:rsidP="00263A18">
      <w:pPr>
        <w:pStyle w:val="GIPstandaard"/>
        <w:jc w:val="both"/>
      </w:pPr>
      <w:r>
        <w:t>Een aandeelhouder die in een onderneming gaat investeren, wil een goed rendement ontvangen voor zijn geïnvesteerde middelen. Door de rendabiliteit van het eigen vermogen te bereken kan je kijken of je risicopremie voldoende is. Daarom gaat hij het rendement vergelijken met de rente op een risicovrije belegging. De minimum risicopremie is 1/3 van een risicovrije belegging. Om te vergelijken kan de aandeelhouder van te voren gaan vragen bij de bank hoeveel hij kan krijgen.</w:t>
      </w:r>
    </w:p>
    <w:p w:rsidR="00263A18" w:rsidRDefault="00263A18" w:rsidP="00263A18">
      <w:pPr>
        <w:pStyle w:val="GIPstandaard"/>
        <w:jc w:val="both"/>
      </w:pPr>
    </w:p>
    <w:p w:rsidR="00263A18" w:rsidRDefault="00263A18" w:rsidP="00263A18">
      <w:pPr>
        <w:pStyle w:val="GIPstandaard"/>
        <w:jc w:val="both"/>
      </w:pPr>
      <m:oMathPara>
        <m:oMath>
          <m:r>
            <w:rPr>
              <w:rFonts w:ascii="Cambria Math" w:hAnsi="Cambria Math"/>
            </w:rPr>
            <m:t xml:space="preserve">REV= </m:t>
          </m:r>
          <m:f>
            <m:fPr>
              <m:ctrlPr>
                <w:rPr>
                  <w:rFonts w:ascii="Cambria Math" w:hAnsi="Cambria Math"/>
                  <w:i/>
                </w:rPr>
              </m:ctrlPr>
            </m:fPr>
            <m:num>
              <m:r>
                <w:rPr>
                  <w:rFonts w:ascii="Cambria Math" w:hAnsi="Cambria Math"/>
                </w:rPr>
                <m:t xml:space="preserve">Winst </m:t>
              </m:r>
              <m:d>
                <m:dPr>
                  <m:ctrlPr>
                    <w:rPr>
                      <w:rFonts w:ascii="Cambria Math" w:hAnsi="Cambria Math"/>
                      <w:i/>
                    </w:rPr>
                  </m:ctrlPr>
                </m:dPr>
                <m:e>
                  <m:r>
                    <w:rPr>
                      <w:rFonts w:ascii="Cambria Math" w:hAnsi="Cambria Math"/>
                    </w:rPr>
                    <m:t xml:space="preserve"> verlies</m:t>
                  </m:r>
                </m:e>
              </m:d>
              <m:r>
                <w:rPr>
                  <w:rFonts w:ascii="Cambria Math" w:hAnsi="Cambria Math"/>
                </w:rPr>
                <m:t>van het boekjaar na belastingen</m:t>
              </m:r>
            </m:num>
            <m:den>
              <m:r>
                <w:rPr>
                  <w:rFonts w:ascii="Cambria Math" w:hAnsi="Cambria Math"/>
                </w:rPr>
                <m:t>Eigen vermogen</m:t>
              </m:r>
            </m:den>
          </m:f>
          <m:r>
            <w:rPr>
              <w:rFonts w:ascii="Cambria Math" w:hAnsi="Cambria Math"/>
            </w:rPr>
            <m:t xml:space="preserve"> ×100</m:t>
          </m:r>
        </m:oMath>
      </m:oMathPara>
    </w:p>
    <w:p w:rsidR="00263A18" w:rsidRDefault="00263A18" w:rsidP="00263A18">
      <w:pPr>
        <w:pStyle w:val="GIPstandaard"/>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521"/>
      </w:tblGrid>
      <w:tr w:rsidR="00263A18" w:rsidTr="00564B71">
        <w:tc>
          <w:tcPr>
            <w:tcW w:w="4520" w:type="dxa"/>
          </w:tcPr>
          <w:p w:rsidR="00263A18" w:rsidRDefault="00263A18" w:rsidP="00564B71">
            <w:pPr>
              <w:pStyle w:val="GIPstandaard"/>
              <w:jc w:val="center"/>
            </w:pPr>
            <w:r>
              <w:t>2011</w:t>
            </w:r>
          </w:p>
        </w:tc>
        <w:tc>
          <w:tcPr>
            <w:tcW w:w="4521" w:type="dxa"/>
          </w:tcPr>
          <w:p w:rsidR="00263A18" w:rsidRDefault="00263A18" w:rsidP="00564B71">
            <w:pPr>
              <w:pStyle w:val="GIPstandaard"/>
              <w:jc w:val="center"/>
            </w:pPr>
            <w:r>
              <w:t>2012</w:t>
            </w:r>
          </w:p>
        </w:tc>
      </w:tr>
      <w:tr w:rsidR="00263A18" w:rsidTr="00564B71">
        <w:tc>
          <w:tcPr>
            <w:tcW w:w="4520" w:type="dxa"/>
          </w:tcPr>
          <w:p w:rsidR="00263A18" w:rsidRDefault="00263A18" w:rsidP="00564B71">
            <w:pPr>
              <w:pStyle w:val="GIPstandaard"/>
              <w:jc w:val="both"/>
            </w:pPr>
            <m:oMathPara>
              <m:oMath>
                <m:f>
                  <m:fPr>
                    <m:ctrlPr>
                      <w:rPr>
                        <w:rFonts w:ascii="Cambria Math" w:hAnsi="Cambria Math"/>
                        <w:i/>
                      </w:rPr>
                    </m:ctrlPr>
                  </m:fPr>
                  <m:num>
                    <m:r>
                      <w:rPr>
                        <w:rFonts w:ascii="Cambria Math" w:hAnsi="Cambria Math"/>
                      </w:rPr>
                      <m:t>1405571,00</m:t>
                    </m:r>
                  </m:num>
                  <m:den>
                    <m:r>
                      <w:rPr>
                        <w:rFonts w:ascii="Cambria Math" w:hAnsi="Cambria Math"/>
                      </w:rPr>
                      <m:t>8303076,00</m:t>
                    </m:r>
                  </m:den>
                </m:f>
                <m:r>
                  <w:rPr>
                    <w:rFonts w:ascii="Cambria Math" w:hAnsi="Cambria Math"/>
                  </w:rPr>
                  <m:t xml:space="preserve"> ×100=17 %</m:t>
                </m:r>
              </m:oMath>
            </m:oMathPara>
          </w:p>
        </w:tc>
        <w:tc>
          <w:tcPr>
            <w:tcW w:w="4521" w:type="dxa"/>
          </w:tcPr>
          <w:p w:rsidR="00263A18" w:rsidRDefault="00263A18" w:rsidP="00564B71">
            <w:pPr>
              <w:pStyle w:val="GIPstandaard"/>
              <w:jc w:val="both"/>
            </w:pPr>
            <m:oMathPara>
              <m:oMath>
                <m:f>
                  <m:fPr>
                    <m:ctrlPr>
                      <w:rPr>
                        <w:rFonts w:ascii="Cambria Math" w:hAnsi="Cambria Math"/>
                        <w:i/>
                      </w:rPr>
                    </m:ctrlPr>
                  </m:fPr>
                  <m:num>
                    <m:r>
                      <w:rPr>
                        <w:rFonts w:ascii="Cambria Math" w:hAnsi="Cambria Math"/>
                      </w:rPr>
                      <m:t>438227,00</m:t>
                    </m:r>
                  </m:num>
                  <m:den>
                    <m:r>
                      <w:rPr>
                        <w:rFonts w:ascii="Cambria Math" w:hAnsi="Cambria Math"/>
                      </w:rPr>
                      <m:t>8229775,00</m:t>
                    </m:r>
                  </m:den>
                </m:f>
                <m:r>
                  <w:rPr>
                    <w:rFonts w:ascii="Cambria Math" w:hAnsi="Cambria Math"/>
                  </w:rPr>
                  <m:t>×100=5 %</m:t>
                </m:r>
              </m:oMath>
            </m:oMathPara>
          </w:p>
        </w:tc>
      </w:tr>
    </w:tbl>
    <w:p w:rsidR="00263A18" w:rsidRDefault="00263A18" w:rsidP="00263A18">
      <w:pPr>
        <w:pStyle w:val="GIPstandaard"/>
        <w:jc w:val="both"/>
      </w:pPr>
    </w:p>
    <w:p w:rsidR="00263A18" w:rsidRDefault="00263A18" w:rsidP="00263A18">
      <w:pPr>
        <w:pStyle w:val="GIPstandaard"/>
        <w:jc w:val="both"/>
      </w:pPr>
      <w:r>
        <w:t xml:space="preserve">Indupol heeft een daling 12% in de REV. Dit betekent dat van de 17 euro die de aandeelhouder per 100 euro terugverdient, de aandeelhouder nu nog maar 5 euro per 100 euro verdient. </w:t>
      </w:r>
    </w:p>
    <w:p w:rsidR="00263A18" w:rsidRDefault="00263A18" w:rsidP="00263A18">
      <w:pPr>
        <w:pStyle w:val="GIPstandaard"/>
        <w:jc w:val="both"/>
      </w:pPr>
    </w:p>
    <w:p w:rsidR="00263A18" w:rsidRDefault="00263A18" w:rsidP="00263A18">
      <w:pPr>
        <w:pStyle w:val="GIPstandaard"/>
        <w:jc w:val="both"/>
      </w:pPr>
      <w:r>
        <w:t xml:space="preserve">Dit kan komen doordat het eigen vermogen ongeveer hetzelfde is gebleven en doordat de bedrijfskosten meer zijn gedaald in verhouding tegenover de bedrijfsopbrengsten. </w:t>
      </w:r>
    </w:p>
    <w:p w:rsidR="00263A18" w:rsidRDefault="00263A18" w:rsidP="00263A18">
      <w:pPr>
        <w:pStyle w:val="GIPstandaard"/>
      </w:pPr>
    </w:p>
    <w:p w:rsidR="00263A18" w:rsidRDefault="00263A18" w:rsidP="00263A18">
      <w:pPr>
        <w:pStyle w:val="GIPstandaard"/>
      </w:pPr>
    </w:p>
    <w:p w:rsidR="00263A18" w:rsidRDefault="00263A18" w:rsidP="00263A18">
      <w:pPr>
        <w:pStyle w:val="GIPtitelNiv3"/>
        <w:numPr>
          <w:ilvl w:val="3"/>
          <w:numId w:val="1"/>
        </w:numPr>
        <w:ind w:left="1134" w:hanging="1134"/>
        <w:jc w:val="both"/>
      </w:pPr>
      <w:bookmarkStart w:id="20" w:name="_Toc379030551"/>
      <w:r>
        <w:t>EBIT</w:t>
      </w:r>
      <w:bookmarkEnd w:id="20"/>
    </w:p>
    <w:p w:rsidR="00263A18" w:rsidRDefault="00263A18" w:rsidP="00263A18">
      <w:pPr>
        <w:pStyle w:val="GIPstandaard"/>
        <w:rPr>
          <w:b/>
          <w:sz w:val="28"/>
        </w:rPr>
      </w:pPr>
    </w:p>
    <w:p w:rsidR="00263A18" w:rsidRDefault="00263A18" w:rsidP="00263A18">
      <w:pPr>
        <w:pStyle w:val="GIPstandaard"/>
        <w:jc w:val="both"/>
      </w:pPr>
      <w:r>
        <w:t>EBIT staat voor winst voor intresten en belastingen. Dus eigenlijk is EBIT de bedrijfswinst.</w:t>
      </w:r>
    </w:p>
    <w:p w:rsidR="00263A18" w:rsidRDefault="00263A18" w:rsidP="00263A18">
      <w:pPr>
        <w:pStyle w:val="GIPstandaar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521"/>
      </w:tblGrid>
      <w:tr w:rsidR="00263A18" w:rsidTr="00564B71">
        <w:tc>
          <w:tcPr>
            <w:tcW w:w="4520" w:type="dxa"/>
          </w:tcPr>
          <w:p w:rsidR="00263A18" w:rsidRDefault="00263A18" w:rsidP="00564B71">
            <w:pPr>
              <w:pStyle w:val="GIPstandaard"/>
              <w:jc w:val="center"/>
            </w:pPr>
            <w:r>
              <w:t>2011</w:t>
            </w:r>
          </w:p>
        </w:tc>
        <w:tc>
          <w:tcPr>
            <w:tcW w:w="4521" w:type="dxa"/>
          </w:tcPr>
          <w:p w:rsidR="00263A18" w:rsidRDefault="00263A18" w:rsidP="00564B71">
            <w:pPr>
              <w:pStyle w:val="GIPstandaard"/>
              <w:jc w:val="center"/>
            </w:pPr>
            <w:r>
              <w:t>2012</w:t>
            </w:r>
          </w:p>
        </w:tc>
      </w:tr>
      <w:tr w:rsidR="00263A18" w:rsidTr="00564B71">
        <w:tc>
          <w:tcPr>
            <w:tcW w:w="4520" w:type="dxa"/>
          </w:tcPr>
          <w:p w:rsidR="00263A18" w:rsidRDefault="00263A18" w:rsidP="00564B71">
            <w:pPr>
              <w:pStyle w:val="GIPstandaard"/>
              <w:jc w:val="center"/>
            </w:pPr>
            <w:r>
              <w:t>€ 2 348 373,00</w:t>
            </w:r>
          </w:p>
        </w:tc>
        <w:tc>
          <w:tcPr>
            <w:tcW w:w="4521" w:type="dxa"/>
          </w:tcPr>
          <w:p w:rsidR="00263A18" w:rsidRDefault="00263A18" w:rsidP="00564B71">
            <w:pPr>
              <w:pStyle w:val="GIPstandaard"/>
              <w:jc w:val="center"/>
            </w:pPr>
            <w:r>
              <w:t>€ 1 105 616,00</w:t>
            </w:r>
          </w:p>
        </w:tc>
      </w:tr>
    </w:tbl>
    <w:p w:rsidR="00263A18" w:rsidRDefault="00263A18" w:rsidP="00263A18">
      <w:pPr>
        <w:pStyle w:val="GIPstandaard"/>
      </w:pPr>
    </w:p>
    <w:p w:rsidR="00263A18" w:rsidRDefault="00263A18" w:rsidP="00263A18">
      <w:pPr>
        <w:pStyle w:val="GIPstandaard"/>
        <w:jc w:val="both"/>
      </w:pPr>
      <w:r>
        <w:t>De EBIT van Indupol is gedaald. Dit betekent dat de bedrijfswinst van het bedrijf is gedaald. Dit komt doordat de omzet van het bedrijf stevig gedaald is. De daling van de omzet kan komen, door een vermindering van de economische activiteit. Bijvoorbeeld door de crisis.</w:t>
      </w:r>
    </w:p>
    <w:p w:rsidR="00263A18" w:rsidRDefault="00263A18" w:rsidP="00263A18">
      <w:pPr>
        <w:pStyle w:val="GIPstandaard"/>
      </w:pPr>
    </w:p>
    <w:p w:rsidR="00263A18" w:rsidRDefault="00263A18" w:rsidP="00263A18">
      <w:pPr>
        <w:rPr>
          <w:rFonts w:ascii="Arial" w:hAnsi="Arial"/>
          <w:b/>
          <w:sz w:val="28"/>
        </w:rPr>
      </w:pPr>
    </w:p>
    <w:p w:rsidR="00263A18" w:rsidRDefault="00263A18" w:rsidP="00263A18">
      <w:pPr>
        <w:rPr>
          <w:rFonts w:ascii="Arial" w:hAnsi="Arial"/>
          <w:b/>
          <w:sz w:val="28"/>
        </w:rPr>
      </w:pPr>
      <w:r>
        <w:br w:type="page"/>
      </w:r>
    </w:p>
    <w:p w:rsidR="00263A18" w:rsidRDefault="00263A18" w:rsidP="00263A18">
      <w:pPr>
        <w:pStyle w:val="GIPtitelNiv3"/>
        <w:numPr>
          <w:ilvl w:val="3"/>
          <w:numId w:val="1"/>
        </w:numPr>
        <w:ind w:left="1134" w:hanging="1134"/>
        <w:jc w:val="both"/>
      </w:pPr>
      <w:bookmarkStart w:id="21" w:name="_Toc379030552"/>
      <w:r>
        <w:lastRenderedPageBreak/>
        <w:t>EBITDA</w:t>
      </w:r>
      <w:bookmarkEnd w:id="21"/>
    </w:p>
    <w:p w:rsidR="00263A18" w:rsidRDefault="00263A18" w:rsidP="00263A18">
      <w:pPr>
        <w:pStyle w:val="GIPtitelNiv3"/>
        <w:ind w:left="1440"/>
        <w:jc w:val="both"/>
      </w:pPr>
    </w:p>
    <w:p w:rsidR="00263A18" w:rsidRDefault="00263A18" w:rsidP="00263A18">
      <w:pPr>
        <w:pStyle w:val="GIPstandaard"/>
        <w:jc w:val="both"/>
      </w:pPr>
      <w:r>
        <w:t xml:space="preserve">EBITDA betekent winst voor interesten, belastingen, afschrijvingen en waardeverminderingen. EBITDA laat de winst zien zonder de </w:t>
      </w:r>
      <w:proofErr w:type="spellStart"/>
      <w:r>
        <w:t>niet-kaselementen</w:t>
      </w:r>
      <w:proofErr w:type="spellEnd"/>
      <w:r>
        <w:t>.</w:t>
      </w:r>
    </w:p>
    <w:p w:rsidR="00263A18" w:rsidRDefault="00263A18" w:rsidP="00263A18">
      <w:pPr>
        <w:pStyle w:val="GIPstandaard"/>
        <w:jc w:val="both"/>
      </w:pPr>
    </w:p>
    <w:p w:rsidR="00263A18" w:rsidRDefault="00263A18" w:rsidP="00263A18">
      <w:pPr>
        <w:pStyle w:val="GIPstandaard"/>
      </w:pPr>
      <m:oMathPara>
        <m:oMath>
          <m:r>
            <w:rPr>
              <w:rFonts w:ascii="Cambria Math" w:hAnsi="Cambria Math"/>
            </w:rPr>
            <m:t>EBITDA=EBIT+afschrijvingen en waard</m:t>
          </m:r>
          <m:r>
            <w:rPr>
              <w:rFonts w:ascii="Cambria Math" w:hAnsi="Cambria Math"/>
            </w:rPr>
            <m:t>everminderingen</m:t>
          </m:r>
        </m:oMath>
      </m:oMathPara>
    </w:p>
    <w:p w:rsidR="00263A18" w:rsidRDefault="00263A18" w:rsidP="00263A18">
      <w:pPr>
        <w:pStyle w:val="GIPstandaard"/>
      </w:pPr>
    </w:p>
    <w:tbl>
      <w:tblPr>
        <w:tblStyle w:val="Tabelraster"/>
        <w:tblW w:w="9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90"/>
      </w:tblGrid>
      <w:tr w:rsidR="00263A18" w:rsidTr="00564B71">
        <w:trPr>
          <w:trHeight w:val="287"/>
        </w:trPr>
        <w:tc>
          <w:tcPr>
            <w:tcW w:w="9190" w:type="dxa"/>
          </w:tcPr>
          <w:p w:rsidR="00263A18" w:rsidRDefault="00263A18" w:rsidP="00564B71">
            <w:pPr>
              <w:pStyle w:val="GIPstandaard"/>
              <w:jc w:val="center"/>
            </w:pPr>
            <w:r>
              <w:t>2011</w:t>
            </w:r>
          </w:p>
        </w:tc>
      </w:tr>
      <w:tr w:rsidR="00263A18" w:rsidTr="00564B71">
        <w:trPr>
          <w:trHeight w:val="846"/>
        </w:trPr>
        <w:tc>
          <w:tcPr>
            <w:tcW w:w="9190" w:type="dxa"/>
          </w:tcPr>
          <w:p w:rsidR="00263A18" w:rsidRDefault="00263A18" w:rsidP="00564B71">
            <w:pPr>
              <w:pStyle w:val="GIPstandaard"/>
              <w:jc w:val="center"/>
            </w:pPr>
            <m:oMathPara>
              <m:oMath>
                <m:r>
                  <w:rPr>
                    <w:rFonts w:ascii="Cambria Math" w:hAnsi="Cambria Math"/>
                  </w:rPr>
                  <m:t>2 348 373,00+598 844,00+50 379,00+0,00-0,00=2 997 596,00 euro</m:t>
                </m:r>
              </m:oMath>
            </m:oMathPara>
          </w:p>
        </w:tc>
      </w:tr>
      <w:tr w:rsidR="00263A18" w:rsidTr="00564B71">
        <w:trPr>
          <w:trHeight w:val="272"/>
        </w:trPr>
        <w:tc>
          <w:tcPr>
            <w:tcW w:w="9190" w:type="dxa"/>
          </w:tcPr>
          <w:p w:rsidR="00263A18" w:rsidRDefault="00263A18" w:rsidP="00564B71">
            <w:pPr>
              <w:pStyle w:val="GIPstandaard"/>
              <w:jc w:val="center"/>
            </w:pPr>
            <w:r>
              <w:t>2012</w:t>
            </w:r>
          </w:p>
        </w:tc>
      </w:tr>
      <w:tr w:rsidR="00263A18" w:rsidTr="00564B71">
        <w:trPr>
          <w:trHeight w:val="574"/>
        </w:trPr>
        <w:tc>
          <w:tcPr>
            <w:tcW w:w="9190" w:type="dxa"/>
          </w:tcPr>
          <w:p w:rsidR="00263A18" w:rsidRDefault="00263A18" w:rsidP="00564B71">
            <w:pPr>
              <w:pStyle w:val="GIPstandaard"/>
            </w:pPr>
            <m:oMathPara>
              <m:oMathParaPr>
                <m:jc m:val="center"/>
              </m:oMathParaPr>
              <m:oMath>
                <m:r>
                  <w:rPr>
                    <w:rFonts w:ascii="Cambria Math" w:hAnsi="Cambria Math"/>
                  </w:rPr>
                  <m:t>1 105 616,00+553 506,00+</m:t>
                </m:r>
                <m:d>
                  <m:dPr>
                    <m:ctrlPr>
                      <w:rPr>
                        <w:rFonts w:ascii="Cambria Math" w:hAnsi="Cambria Math"/>
                        <w:i/>
                      </w:rPr>
                    </m:ctrlPr>
                  </m:dPr>
                  <m:e>
                    <m:r>
                      <w:rPr>
                        <w:rFonts w:ascii="Cambria Math" w:hAnsi="Cambria Math"/>
                      </w:rPr>
                      <m:t>-47 143,00</m:t>
                    </m:r>
                  </m:e>
                </m:d>
                <m:r>
                  <w:rPr>
                    <w:rFonts w:ascii="Cambria Math" w:hAnsi="Cambria Math"/>
                  </w:rPr>
                  <m:t>+0,00-0,00=1 611 979,00 euro</m:t>
                </m:r>
              </m:oMath>
            </m:oMathPara>
          </w:p>
        </w:tc>
      </w:tr>
    </w:tbl>
    <w:p w:rsidR="00263A18" w:rsidRDefault="00263A18" w:rsidP="00263A18">
      <w:pPr>
        <w:pStyle w:val="GIPstandaard"/>
      </w:pPr>
    </w:p>
    <w:p w:rsidR="00263A18" w:rsidRDefault="00263A18" w:rsidP="00263A18">
      <w:pPr>
        <w:pStyle w:val="GIPstandaard"/>
        <w:jc w:val="both"/>
      </w:pPr>
    </w:p>
    <w:p w:rsidR="00263A18" w:rsidRDefault="00263A18" w:rsidP="00263A18">
      <w:pPr>
        <w:pStyle w:val="GIPstandaard"/>
        <w:jc w:val="both"/>
      </w:pPr>
      <w:r>
        <w:t>De EBITDA van Indupol heeft sterke daling van 2011 naar 2012 meegemaakt. Dit komt doordat de waardeverminderingen op voorraden gedaald zijn tot onder 0. Namelijk van iets meer dan 50 000,00 euro naar iets meer als -47 000,00 euro.</w:t>
      </w:r>
    </w:p>
    <w:p w:rsidR="00263A18" w:rsidRDefault="00263A18" w:rsidP="00263A18">
      <w:pPr>
        <w:pStyle w:val="GIPstandaard"/>
        <w:jc w:val="both"/>
      </w:pPr>
    </w:p>
    <w:p w:rsidR="00263A18" w:rsidRDefault="00263A18" w:rsidP="00263A18">
      <w:pPr>
        <w:pStyle w:val="GIPstandaard"/>
        <w:jc w:val="both"/>
      </w:pPr>
      <w:r>
        <w:t>Het bedrijf had ook alleen de EBITDA kunnen bereken. Als ze alleen de EBITDA berekenen kunnen ze veel verbergen. Dit kan er dan op wijzen dat het bedrijf hoge afschrijvingen of waardevermindering op hun activa hebben moeten toepassen. Om een bedrijf goed te kunnen beoordelen moet je dus zowel de EBIT als de EBITDA bekijken.</w:t>
      </w:r>
    </w:p>
    <w:p w:rsidR="00263A18" w:rsidRDefault="00263A18" w:rsidP="00263A18">
      <w:pPr>
        <w:pStyle w:val="GIPstandaard"/>
        <w:jc w:val="both"/>
      </w:pPr>
    </w:p>
    <w:p w:rsidR="00263A18" w:rsidRDefault="00263A18" w:rsidP="00263A18">
      <w:pPr>
        <w:rPr>
          <w:rFonts w:ascii="Arial" w:hAnsi="Arial"/>
          <w:b/>
          <w:sz w:val="28"/>
        </w:rPr>
      </w:pPr>
    </w:p>
    <w:p w:rsidR="00263A18" w:rsidRDefault="00263A18" w:rsidP="00263A18">
      <w:pPr>
        <w:pStyle w:val="GIPtitelNiv3"/>
        <w:numPr>
          <w:ilvl w:val="3"/>
          <w:numId w:val="1"/>
        </w:numPr>
        <w:ind w:left="1134" w:hanging="1134"/>
        <w:jc w:val="both"/>
      </w:pPr>
      <w:bookmarkStart w:id="22" w:name="_Toc379030553"/>
      <w:r>
        <w:t>Omlooptijd goederenvoorraad</w:t>
      </w:r>
      <w:bookmarkEnd w:id="22"/>
    </w:p>
    <w:p w:rsidR="00263A18" w:rsidRDefault="00263A18" w:rsidP="00263A18">
      <w:pPr>
        <w:pStyle w:val="GIPstandaard"/>
      </w:pPr>
    </w:p>
    <w:p w:rsidR="00263A18" w:rsidRDefault="00263A18" w:rsidP="00263A18">
      <w:pPr>
        <w:pStyle w:val="GIPstandaard"/>
        <w:jc w:val="both"/>
      </w:pPr>
      <w:r>
        <w:t>Het is voor een bedrijf belangrijk om te weten of de voorraden liquide zijn. Daarom bereken ze de omlooptijd van de goederen en zo komen ze te weten hoe vaak de totale voorraad op jaarbasis wordt verkocht.</w:t>
      </w:r>
    </w:p>
    <w:p w:rsidR="00263A18" w:rsidRDefault="00263A18" w:rsidP="00263A18">
      <w:pPr>
        <w:pStyle w:val="GIPstandaard"/>
        <w:jc w:val="both"/>
      </w:pPr>
    </w:p>
    <w:p w:rsidR="00263A18" w:rsidRDefault="00263A18" w:rsidP="00263A18">
      <w:pPr>
        <w:pStyle w:val="GIPstandaard"/>
        <w:jc w:val="both"/>
        <w:rPr>
          <w:rFonts w:cs="Arial"/>
        </w:rPr>
      </w:pPr>
      <m:oMathPara>
        <m:oMath>
          <m:r>
            <m:rPr>
              <m:sty m:val="p"/>
            </m:rPr>
            <w:rPr>
              <w:rFonts w:ascii="Cambria Math" w:cs="Arial"/>
            </w:rPr>
            <m:t>Formule omloopsnelheid=</m:t>
          </m:r>
          <m:f>
            <m:fPr>
              <m:ctrlPr>
                <w:rPr>
                  <w:rFonts w:ascii="Cambria Math" w:hAnsi="Cambria Math" w:cs="Arial"/>
                  <w:i/>
                </w:rPr>
              </m:ctrlPr>
            </m:fPr>
            <m:num>
              <m:r>
                <w:rPr>
                  <w:rFonts w:ascii="Cambria Math" w:cs="Arial"/>
                </w:rPr>
                <m:t>omzet aan kos</m:t>
              </m:r>
              <m:r>
                <w:rPr>
                  <w:rFonts w:ascii="Cambria Math" w:cs="Arial"/>
                </w:rPr>
                <m:t>tprijs</m:t>
              </m:r>
            </m:num>
            <m:den>
              <m:r>
                <w:rPr>
                  <w:rFonts w:ascii="Cambria Math" w:cs="Arial"/>
                </w:rPr>
                <m:t>voorraden</m:t>
              </m:r>
            </m:den>
          </m:f>
        </m:oMath>
      </m:oMathPara>
    </w:p>
    <w:p w:rsidR="00263A18" w:rsidRDefault="00263A18" w:rsidP="00263A18">
      <w:pPr>
        <w:pStyle w:val="GIPstandaard"/>
        <w:jc w:val="both"/>
        <w:rPr>
          <w:rFonts w:cs="Arial"/>
        </w:rPr>
      </w:pPr>
    </w:p>
    <w:p w:rsidR="00263A18" w:rsidRDefault="00263A18" w:rsidP="00263A18">
      <w:pPr>
        <w:pStyle w:val="GIPstandaard"/>
        <w:jc w:val="both"/>
        <w:rPr>
          <w:rFonts w:cs="Arial"/>
        </w:rPr>
      </w:pPr>
      <m:oMathPara>
        <m:oMath>
          <m:r>
            <m:rPr>
              <m:sty m:val="p"/>
            </m:rPr>
            <w:rPr>
              <w:rFonts w:ascii="Cambria Math" w:hAnsi="Cambria Math" w:cs="Arial"/>
            </w:rPr>
            <m:t>Omlooptijd=</m:t>
          </m:r>
          <m:f>
            <m:fPr>
              <m:ctrlPr>
                <w:rPr>
                  <w:rFonts w:ascii="Cambria Math" w:hAnsi="Cambria Math" w:cs="Arial"/>
                  <w:i/>
                </w:rPr>
              </m:ctrlPr>
            </m:fPr>
            <m:num>
              <m:r>
                <w:rPr>
                  <w:rFonts w:ascii="Cambria Math" w:hAnsi="Cambria Math" w:cs="Arial"/>
                </w:rPr>
                <m:t>365</m:t>
              </m:r>
            </m:num>
            <m:den>
              <m:r>
                <w:rPr>
                  <w:rFonts w:ascii="Cambria Math" w:hAnsi="Cambria Math" w:cs="Arial"/>
                </w:rPr>
                <m:t>omloopsnelheid</m:t>
              </m:r>
            </m:den>
          </m:f>
        </m:oMath>
      </m:oMathPara>
    </w:p>
    <w:p w:rsidR="00263A18" w:rsidRDefault="00263A18" w:rsidP="00263A18">
      <w:pPr>
        <w:pStyle w:val="GIPstandaard"/>
        <w:jc w:val="both"/>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521"/>
      </w:tblGrid>
      <w:tr w:rsidR="00263A18" w:rsidTr="00564B71">
        <w:tc>
          <w:tcPr>
            <w:tcW w:w="4520" w:type="dxa"/>
          </w:tcPr>
          <w:p w:rsidR="00263A18" w:rsidRDefault="00263A18" w:rsidP="00564B71">
            <w:pPr>
              <w:pStyle w:val="GIPstandaard"/>
              <w:jc w:val="center"/>
              <w:rPr>
                <w:rFonts w:cs="Arial"/>
              </w:rPr>
            </w:pPr>
            <w:r>
              <w:rPr>
                <w:rFonts w:cs="Arial"/>
              </w:rPr>
              <w:t>2011</w:t>
            </w:r>
          </w:p>
        </w:tc>
        <w:tc>
          <w:tcPr>
            <w:tcW w:w="4521" w:type="dxa"/>
          </w:tcPr>
          <w:p w:rsidR="00263A18" w:rsidRDefault="00263A18" w:rsidP="00564B71">
            <w:pPr>
              <w:pStyle w:val="GIPstandaard"/>
              <w:jc w:val="center"/>
              <w:rPr>
                <w:rFonts w:cs="Arial"/>
              </w:rPr>
            </w:pPr>
            <w:r>
              <w:rPr>
                <w:rFonts w:cs="Arial"/>
              </w:rPr>
              <w:t>2012</w:t>
            </w:r>
          </w:p>
        </w:tc>
      </w:tr>
      <w:tr w:rsidR="00263A18" w:rsidTr="00564B71">
        <w:tc>
          <w:tcPr>
            <w:tcW w:w="4520" w:type="dxa"/>
          </w:tcPr>
          <w:p w:rsidR="00263A18" w:rsidRDefault="00263A18" w:rsidP="00564B71">
            <w:pPr>
              <w:pStyle w:val="GIPstandaard"/>
              <w:jc w:val="both"/>
              <w:rPr>
                <w:rFonts w:cs="Arial"/>
              </w:rPr>
            </w:pPr>
            <m:oMathPara>
              <m:oMathParaPr>
                <m:jc m:val="center"/>
              </m:oMathParaPr>
              <m:oMath>
                <m:f>
                  <m:fPr>
                    <m:ctrlPr>
                      <w:rPr>
                        <w:rFonts w:ascii="Cambria Math" w:hAnsi="Cambria Math" w:cs="Arial"/>
                        <w:i/>
                      </w:rPr>
                    </m:ctrlPr>
                  </m:fPr>
                  <m:num>
                    <m:r>
                      <w:rPr>
                        <w:rFonts w:ascii="Cambria Math" w:hAnsi="Cambria Math" w:cs="Arial"/>
                      </w:rPr>
                      <m:t>365</m:t>
                    </m:r>
                  </m:num>
                  <m:den>
                    <m:r>
                      <w:rPr>
                        <w:rFonts w:ascii="Cambria Math" w:hAnsi="Cambria Math" w:cs="Arial"/>
                      </w:rPr>
                      <m:t>(</m:t>
                    </m:r>
                    <m:f>
                      <m:fPr>
                        <m:ctrlPr>
                          <w:rPr>
                            <w:rFonts w:ascii="Cambria Math" w:hAnsi="Cambria Math" w:cs="Arial"/>
                            <w:i/>
                          </w:rPr>
                        </m:ctrlPr>
                      </m:fPr>
                      <m:num>
                        <m:r>
                          <w:rPr>
                            <w:rFonts w:ascii="Cambria Math" w:hAnsi="Cambria Math" w:cs="Arial"/>
                          </w:rPr>
                          <m:t>6 806 366,00</m:t>
                        </m:r>
                      </m:num>
                      <m:den>
                        <m:r>
                          <w:rPr>
                            <w:rFonts w:ascii="Cambria Math" w:hAnsi="Cambria Math" w:cs="Arial"/>
                          </w:rPr>
                          <m:t>1 720 454,00</m:t>
                        </m:r>
                      </m:den>
                    </m:f>
                    <m:r>
                      <w:rPr>
                        <w:rFonts w:ascii="Cambria Math" w:hAnsi="Cambria Math" w:cs="Arial"/>
                      </w:rPr>
                      <m:t>)</m:t>
                    </m:r>
                  </m:den>
                </m:f>
                <m:r>
                  <w:rPr>
                    <w:rFonts w:ascii="Cambria Math" w:hAnsi="Cambria Math" w:cs="Arial"/>
                  </w:rPr>
                  <m:t>=92,26 dagen</m:t>
                </m:r>
              </m:oMath>
            </m:oMathPara>
          </w:p>
        </w:tc>
        <w:tc>
          <w:tcPr>
            <w:tcW w:w="4521" w:type="dxa"/>
          </w:tcPr>
          <w:p w:rsidR="00263A18" w:rsidRDefault="00263A18" w:rsidP="00564B71">
            <w:pPr>
              <w:pStyle w:val="GIPstandaard"/>
              <w:jc w:val="both"/>
              <w:rPr>
                <w:rFonts w:cs="Arial"/>
              </w:rPr>
            </w:pPr>
            <m:oMathPara>
              <m:oMathParaPr>
                <m:jc m:val="center"/>
              </m:oMathParaPr>
              <m:oMath>
                <m:f>
                  <m:fPr>
                    <m:ctrlPr>
                      <w:rPr>
                        <w:rFonts w:ascii="Cambria Math" w:hAnsi="Cambria Math" w:cs="Arial"/>
                        <w:i/>
                      </w:rPr>
                    </m:ctrlPr>
                  </m:fPr>
                  <m:num>
                    <m:r>
                      <w:rPr>
                        <w:rFonts w:ascii="Cambria Math" w:hAnsi="Cambria Math" w:cs="Arial"/>
                      </w:rPr>
                      <m:t>365</m:t>
                    </m:r>
                  </m:num>
                  <m:den>
                    <m:r>
                      <w:rPr>
                        <w:rFonts w:ascii="Cambria Math" w:hAnsi="Cambria Math" w:cs="Arial"/>
                      </w:rPr>
                      <m:t>(</m:t>
                    </m:r>
                    <m:f>
                      <m:fPr>
                        <m:ctrlPr>
                          <w:rPr>
                            <w:rFonts w:ascii="Cambria Math" w:hAnsi="Cambria Math" w:cs="Arial"/>
                            <w:i/>
                          </w:rPr>
                        </m:ctrlPr>
                      </m:fPr>
                      <m:num>
                        <m:r>
                          <w:rPr>
                            <w:rFonts w:ascii="Cambria Math" w:hAnsi="Cambria Math" w:cs="Arial"/>
                          </w:rPr>
                          <m:t>4 528 592,00</m:t>
                        </m:r>
                      </m:num>
                      <m:den>
                        <m:r>
                          <w:rPr>
                            <w:rFonts w:ascii="Cambria Math" w:hAnsi="Cambria Math" w:cs="Arial"/>
                          </w:rPr>
                          <m:t>1 531 515,00</m:t>
                        </m:r>
                      </m:den>
                    </m:f>
                    <m:r>
                      <w:rPr>
                        <w:rFonts w:ascii="Cambria Math" w:hAnsi="Cambria Math" w:cs="Arial"/>
                      </w:rPr>
                      <m:t>)</m:t>
                    </m:r>
                  </m:den>
                </m:f>
                <m:r>
                  <w:rPr>
                    <w:rFonts w:ascii="Cambria Math" w:hAnsi="Cambria Math" w:cs="Arial"/>
                  </w:rPr>
                  <m:t>=123,44 dagen</m:t>
                </m:r>
              </m:oMath>
            </m:oMathPara>
          </w:p>
        </w:tc>
      </w:tr>
    </w:tbl>
    <w:p w:rsidR="00263A18" w:rsidRPr="001101A8" w:rsidRDefault="00263A18" w:rsidP="00263A18">
      <w:pPr>
        <w:pStyle w:val="GIPstandaard"/>
        <w:jc w:val="both"/>
        <w:rPr>
          <w:rFonts w:cs="Arial"/>
        </w:rPr>
      </w:pPr>
    </w:p>
    <w:p w:rsidR="00263A18" w:rsidRDefault="00263A18" w:rsidP="00263A18">
      <w:pPr>
        <w:pStyle w:val="GIPstandaard"/>
        <w:jc w:val="both"/>
      </w:pPr>
      <w:r>
        <w:t xml:space="preserve">Indupol heeft een daling meegemaakt tegenover 2011, de producten zijn namelijk 30 dagen langer in het bedrijf. </w:t>
      </w:r>
    </w:p>
    <w:p w:rsidR="00263A18" w:rsidRDefault="00263A18" w:rsidP="00263A18">
      <w:pPr>
        <w:pStyle w:val="GIPstandaard"/>
      </w:pPr>
    </w:p>
    <w:p w:rsidR="00263A18" w:rsidRDefault="00263A18" w:rsidP="00263A18">
      <w:pPr>
        <w:rPr>
          <w:rFonts w:ascii="Arial" w:hAnsi="Arial"/>
          <w:b/>
          <w:sz w:val="28"/>
        </w:rPr>
      </w:pPr>
    </w:p>
    <w:p w:rsidR="00263A18" w:rsidRDefault="00263A18" w:rsidP="00263A18">
      <w:pPr>
        <w:pStyle w:val="GIPtitelNiv3"/>
        <w:numPr>
          <w:ilvl w:val="3"/>
          <w:numId w:val="1"/>
        </w:numPr>
        <w:ind w:left="1134" w:hanging="1134"/>
        <w:jc w:val="both"/>
      </w:pPr>
      <w:bookmarkStart w:id="23" w:name="_Toc379030554"/>
      <w:r>
        <w:lastRenderedPageBreak/>
        <w:t>Omlooptijd klantenkrediet</w:t>
      </w:r>
      <w:bookmarkEnd w:id="23"/>
    </w:p>
    <w:p w:rsidR="00263A18" w:rsidRDefault="00263A18" w:rsidP="00263A18">
      <w:pPr>
        <w:pStyle w:val="GIPtitelNiv3"/>
        <w:ind w:left="1440"/>
        <w:jc w:val="both"/>
      </w:pPr>
    </w:p>
    <w:p w:rsidR="00263A18" w:rsidRDefault="00263A18" w:rsidP="00263A18">
      <w:pPr>
        <w:pStyle w:val="GIPstandaard"/>
      </w:pPr>
      <w:r>
        <w:t>De omlooptijd van het klantenkrediet geeft weer na hoeveel dagen de klant gemiddeld een openstaande vordering betaald.</w:t>
      </w:r>
    </w:p>
    <w:p w:rsidR="00263A18" w:rsidRDefault="00263A18" w:rsidP="00263A18">
      <w:pPr>
        <w:pStyle w:val="GIPstandaard"/>
      </w:pPr>
    </w:p>
    <w:p w:rsidR="00263A18" w:rsidRDefault="00263A18" w:rsidP="00263A18">
      <w:pPr>
        <w:pStyle w:val="GIPstandaard"/>
      </w:pPr>
      <m:oMathPara>
        <m:oMath>
          <m:r>
            <w:rPr>
              <w:rFonts w:ascii="Cambria Math" w:hAnsi="Cambria Math"/>
            </w:rPr>
            <m:t xml:space="preserve">omlooptijd klantenkrediet= </m:t>
          </m:r>
          <m:f>
            <m:fPr>
              <m:ctrlPr>
                <w:rPr>
                  <w:rFonts w:ascii="Cambria Math" w:hAnsi="Cambria Math"/>
                  <w:i/>
                </w:rPr>
              </m:ctrlPr>
            </m:fPr>
            <m:num>
              <m:r>
                <w:rPr>
                  <w:rFonts w:ascii="Cambria Math" w:hAnsi="Cambria Math"/>
                </w:rPr>
                <m:t>Handelsvorderingen</m:t>
              </m:r>
            </m:num>
            <m:den>
              <m:r>
                <w:rPr>
                  <w:rFonts w:ascii="Cambria Math" w:hAnsi="Cambria Math"/>
                </w:rPr>
                <m:t>omzet inclusief btw ( toelichting)</m:t>
              </m:r>
            </m:den>
          </m:f>
          <m:r>
            <w:rPr>
              <w:rFonts w:ascii="Cambria Math" w:hAnsi="Cambria Math"/>
            </w:rPr>
            <m:t>×365</m:t>
          </m:r>
        </m:oMath>
      </m:oMathPara>
    </w:p>
    <w:p w:rsidR="00263A18" w:rsidRDefault="00263A18" w:rsidP="00263A18">
      <w:pPr>
        <w:pStyle w:val="GIPstandaar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521"/>
      </w:tblGrid>
      <w:tr w:rsidR="00263A18" w:rsidTr="00564B71">
        <w:tc>
          <w:tcPr>
            <w:tcW w:w="4520" w:type="dxa"/>
          </w:tcPr>
          <w:p w:rsidR="00263A18" w:rsidRDefault="00263A18" w:rsidP="00564B71">
            <w:pPr>
              <w:pStyle w:val="GIPstandaard"/>
              <w:jc w:val="center"/>
            </w:pPr>
            <w:r>
              <w:t>2011</w:t>
            </w:r>
          </w:p>
        </w:tc>
        <w:tc>
          <w:tcPr>
            <w:tcW w:w="4521" w:type="dxa"/>
          </w:tcPr>
          <w:p w:rsidR="00263A18" w:rsidRDefault="00263A18" w:rsidP="00564B71">
            <w:pPr>
              <w:pStyle w:val="GIPstandaard"/>
              <w:jc w:val="center"/>
            </w:pPr>
            <w:r>
              <w:t>2012</w:t>
            </w:r>
          </w:p>
        </w:tc>
      </w:tr>
      <w:tr w:rsidR="00263A18" w:rsidTr="00564B71">
        <w:tc>
          <w:tcPr>
            <w:tcW w:w="4520" w:type="dxa"/>
          </w:tcPr>
          <w:p w:rsidR="00263A18" w:rsidRDefault="00263A18" w:rsidP="00564B71">
            <w:pPr>
              <w:pStyle w:val="GIPstandaard"/>
            </w:pPr>
            <m:oMathPara>
              <m:oMath>
                <m:f>
                  <m:fPr>
                    <m:ctrlPr>
                      <w:rPr>
                        <w:rFonts w:ascii="Cambria Math" w:hAnsi="Cambria Math"/>
                        <w:i/>
                      </w:rPr>
                    </m:ctrlPr>
                  </m:fPr>
                  <m:num>
                    <m:r>
                      <w:rPr>
                        <w:rFonts w:ascii="Cambria Math" w:hAnsi="Cambria Math"/>
                      </w:rPr>
                      <m:t>2 674 442,00</m:t>
                    </m:r>
                  </m:num>
                  <m:den>
                    <m:r>
                      <w:rPr>
                        <w:rFonts w:ascii="Cambria Math" w:hAnsi="Cambria Math"/>
                      </w:rPr>
                      <m:t>15 945 663,00+3 806 425,00</m:t>
                    </m:r>
                  </m:den>
                </m:f>
                <m:r>
                  <w:rPr>
                    <w:rFonts w:ascii="Cambria Math" w:hAnsi="Cambria Math"/>
                  </w:rPr>
                  <m:t>×365=49,42 dagen</m:t>
                </m:r>
              </m:oMath>
            </m:oMathPara>
          </w:p>
        </w:tc>
        <w:tc>
          <w:tcPr>
            <w:tcW w:w="4521" w:type="dxa"/>
          </w:tcPr>
          <w:p w:rsidR="00263A18" w:rsidRDefault="00263A18" w:rsidP="00564B71">
            <w:pPr>
              <w:pStyle w:val="GIPstandaard"/>
            </w:pPr>
            <m:oMathPara>
              <m:oMath>
                <m:f>
                  <m:fPr>
                    <m:ctrlPr>
                      <w:rPr>
                        <w:rFonts w:ascii="Cambria Math" w:hAnsi="Cambria Math"/>
                        <w:i/>
                      </w:rPr>
                    </m:ctrlPr>
                  </m:fPr>
                  <m:num>
                    <m:r>
                      <w:rPr>
                        <w:rFonts w:ascii="Cambria Math" w:hAnsi="Cambria Math"/>
                      </w:rPr>
                      <m:t>2 681 851,00</m:t>
                    </m:r>
                  </m:num>
                  <m:den>
                    <m:r>
                      <w:rPr>
                        <w:rFonts w:ascii="Cambria Math" w:hAnsi="Cambria Math"/>
                      </w:rPr>
                      <m:t>12 140 905,00+2 838 225,00</m:t>
                    </m:r>
                  </m:den>
                </m:f>
                <m:r>
                  <w:rPr>
                    <w:rFonts w:ascii="Cambria Math" w:hAnsi="Cambria Math"/>
                  </w:rPr>
                  <m:t>×365=65,35 dagen</m:t>
                </m:r>
              </m:oMath>
            </m:oMathPara>
          </w:p>
        </w:tc>
      </w:tr>
    </w:tbl>
    <w:p w:rsidR="00263A18" w:rsidRDefault="00263A18" w:rsidP="00263A18">
      <w:pPr>
        <w:pStyle w:val="GIPstandaard"/>
      </w:pPr>
    </w:p>
    <w:p w:rsidR="00263A18" w:rsidRDefault="00263A18" w:rsidP="00263A18">
      <w:pPr>
        <w:pStyle w:val="GIPstandaard"/>
        <w:jc w:val="both"/>
      </w:pPr>
      <w:r>
        <w:t xml:space="preserve">De omlooptijd van het klantenkrediet is meer dagen geworden. Het is namelijk van 49 dagen naar 65 dagen gegaan. Dit kan betekenen dat het klantenvertrouwen is gegroeid of dat het bedrijf de betaling van de klanten slecht opvolgt. </w:t>
      </w:r>
    </w:p>
    <w:p w:rsidR="00263A18" w:rsidRDefault="00263A18" w:rsidP="00263A18">
      <w:pPr>
        <w:pStyle w:val="GIPstandaard"/>
        <w:jc w:val="both"/>
      </w:pPr>
    </w:p>
    <w:p w:rsidR="00263A18" w:rsidRDefault="00263A18" w:rsidP="00263A18">
      <w:pPr>
        <w:pStyle w:val="GIPstandaard"/>
        <w:jc w:val="both"/>
      </w:pPr>
      <w:r>
        <w:t>Er is nog een nadeel voor het bedrijf namelijk dat het gemiddelde klantenkrediet niet meer binnen het termijn van 60 dagen ( 2 maanden) valt. Deze 60 dagen is een normale klanten krediet die wordt toegepast op de meeste facturen.</w:t>
      </w:r>
    </w:p>
    <w:p w:rsidR="00263A18" w:rsidRDefault="00263A18" w:rsidP="00263A18">
      <w:pPr>
        <w:pStyle w:val="GIPstandaard"/>
        <w:jc w:val="both"/>
      </w:pPr>
    </w:p>
    <w:p w:rsidR="00263A18" w:rsidRDefault="00263A18" w:rsidP="00263A18">
      <w:pPr>
        <w:rPr>
          <w:rFonts w:ascii="Arial" w:hAnsi="Arial"/>
          <w:b/>
          <w:sz w:val="28"/>
        </w:rPr>
      </w:pPr>
    </w:p>
    <w:p w:rsidR="00263A18" w:rsidRDefault="00263A18" w:rsidP="00263A18">
      <w:pPr>
        <w:pStyle w:val="GIPtitelNiv3"/>
        <w:numPr>
          <w:ilvl w:val="3"/>
          <w:numId w:val="1"/>
        </w:numPr>
        <w:ind w:left="1134" w:hanging="1134"/>
        <w:jc w:val="both"/>
      </w:pPr>
      <w:bookmarkStart w:id="24" w:name="_Toc379030555"/>
      <w:r>
        <w:t>Omlooptijd leverancierskrediet</w:t>
      </w:r>
      <w:bookmarkEnd w:id="24"/>
    </w:p>
    <w:p w:rsidR="00263A18" w:rsidRDefault="00263A18" w:rsidP="00263A18">
      <w:pPr>
        <w:pStyle w:val="GIPtitelNiv3"/>
        <w:ind w:left="1440"/>
        <w:jc w:val="both"/>
      </w:pPr>
    </w:p>
    <w:p w:rsidR="00263A18" w:rsidRDefault="00263A18" w:rsidP="00263A18">
      <w:pPr>
        <w:pStyle w:val="GIPstandaard"/>
        <w:jc w:val="both"/>
      </w:pPr>
      <w:r>
        <w:t>De omlooptijd van het leverancierskrediet wordt berekend om te weten hoeveel dagen er tussen het kopen van de goederen en de betaling van de goederen zit.</w:t>
      </w:r>
    </w:p>
    <w:p w:rsidR="00263A18" w:rsidRDefault="00263A18" w:rsidP="00263A18">
      <w:pPr>
        <w:pStyle w:val="GIPstandaard"/>
        <w:jc w:val="both"/>
      </w:pPr>
      <w:r>
        <w:t>Formule:</w:t>
      </w:r>
    </w:p>
    <w:p w:rsidR="00263A18" w:rsidRDefault="00263A18" w:rsidP="00263A18">
      <w:pPr>
        <w:pStyle w:val="GIPstandaard"/>
        <w:jc w:val="both"/>
      </w:pPr>
    </w:p>
    <w:p w:rsidR="00263A18" w:rsidRDefault="00263A18" w:rsidP="00263A18">
      <w:pPr>
        <w:pStyle w:val="GIPstandaard"/>
        <w:jc w:val="both"/>
      </w:pPr>
      <m:oMathPara>
        <m:oMath>
          <m:f>
            <m:fPr>
              <m:ctrlPr>
                <w:rPr>
                  <w:rFonts w:ascii="Cambria Math" w:hAnsi="Cambria Math"/>
                  <w:i/>
                </w:rPr>
              </m:ctrlPr>
            </m:fPr>
            <m:num>
              <m:r>
                <w:rPr>
                  <w:rFonts w:ascii="Cambria Math" w:hAnsi="Cambria Math"/>
                </w:rPr>
                <m:t>Handelsschulden</m:t>
              </m:r>
            </m:num>
            <m:den>
              <m:r>
                <w:rPr>
                  <w:rFonts w:ascii="Cambria Math" w:hAnsi="Cambria Math"/>
                </w:rPr>
                <m:t>AK handelsgoed ,grond-en hulpstof+DDG+BTW op aankopen (1945</m:t>
              </m:r>
            </m:den>
          </m:f>
          <m:r>
            <w:rPr>
              <w:rFonts w:ascii="Cambria Math" w:hAnsi="Cambria Math"/>
            </w:rPr>
            <m:t>×365</m:t>
          </m:r>
        </m:oMath>
      </m:oMathPara>
    </w:p>
    <w:p w:rsidR="00263A18" w:rsidRDefault="00263A18" w:rsidP="00263A18">
      <w:pPr>
        <w:pStyle w:val="GIPstandaard"/>
        <w:jc w:val="both"/>
      </w:pPr>
    </w:p>
    <w:tbl>
      <w:tblPr>
        <w:tblStyle w:val="Tabelraster"/>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50"/>
      </w:tblGrid>
      <w:tr w:rsidR="00263A18" w:rsidTr="00564B71">
        <w:trPr>
          <w:trHeight w:val="278"/>
        </w:trPr>
        <w:tc>
          <w:tcPr>
            <w:tcW w:w="9250" w:type="dxa"/>
          </w:tcPr>
          <w:p w:rsidR="00263A18" w:rsidRDefault="00263A18" w:rsidP="00564B71">
            <w:pPr>
              <w:pStyle w:val="GIPstandaard"/>
              <w:jc w:val="center"/>
            </w:pPr>
            <w:r>
              <w:t>2011</w:t>
            </w:r>
          </w:p>
        </w:tc>
      </w:tr>
      <w:tr w:rsidR="00263A18" w:rsidTr="00564B71">
        <w:trPr>
          <w:trHeight w:val="850"/>
        </w:trPr>
        <w:tc>
          <w:tcPr>
            <w:tcW w:w="9250" w:type="dxa"/>
          </w:tcPr>
          <w:p w:rsidR="00263A18" w:rsidRDefault="00263A18" w:rsidP="00564B71">
            <w:pPr>
              <w:pStyle w:val="GIPstandaard"/>
              <w:jc w:val="both"/>
            </w:pPr>
            <m:oMathPara>
              <m:oMath>
                <m:f>
                  <m:fPr>
                    <m:ctrlPr>
                      <w:rPr>
                        <w:rFonts w:ascii="Cambria Math" w:hAnsi="Cambria Math"/>
                        <w:i/>
                      </w:rPr>
                    </m:ctrlPr>
                  </m:fPr>
                  <m:num>
                    <m:r>
                      <w:rPr>
                        <w:rFonts w:ascii="Cambria Math" w:hAnsi="Cambria Math"/>
                      </w:rPr>
                      <m:t>1 581 521,00</m:t>
                    </m:r>
                  </m:num>
                  <m:den>
                    <m:r>
                      <w:rPr>
                        <w:rFonts w:ascii="Cambria Math" w:hAnsi="Cambria Math"/>
                      </w:rPr>
                      <m:t>6 781 419,00+3 484 988,00+3 785 186,00</m:t>
                    </m:r>
                  </m:den>
                </m:f>
                <m:r>
                  <w:rPr>
                    <w:rFonts w:ascii="Cambria Math" w:hAnsi="Cambria Math"/>
                  </w:rPr>
                  <m:t>×365=41,16 dagen</m:t>
                </m:r>
              </m:oMath>
            </m:oMathPara>
          </w:p>
        </w:tc>
      </w:tr>
      <w:tr w:rsidR="00263A18" w:rsidTr="00564B71">
        <w:trPr>
          <w:trHeight w:val="227"/>
        </w:trPr>
        <w:tc>
          <w:tcPr>
            <w:tcW w:w="9250" w:type="dxa"/>
          </w:tcPr>
          <w:p w:rsidR="00263A18" w:rsidRPr="00E47233" w:rsidRDefault="00263A18" w:rsidP="00564B71">
            <w:pPr>
              <w:pStyle w:val="GIPstandaard"/>
              <w:jc w:val="center"/>
              <w:rPr>
                <w:rFonts w:ascii="Calibri" w:eastAsia="Times New Roman" w:hAnsi="Calibri" w:cs="Times New Roman"/>
              </w:rPr>
            </w:pPr>
            <w:r>
              <w:rPr>
                <w:rFonts w:ascii="Calibri" w:eastAsia="Times New Roman" w:hAnsi="Calibri" w:cs="Times New Roman"/>
              </w:rPr>
              <w:t>2012</w:t>
            </w:r>
          </w:p>
        </w:tc>
      </w:tr>
      <w:tr w:rsidR="00263A18" w:rsidTr="00564B71">
        <w:trPr>
          <w:trHeight w:val="450"/>
        </w:trPr>
        <w:tc>
          <w:tcPr>
            <w:tcW w:w="9250" w:type="dxa"/>
          </w:tcPr>
          <w:p w:rsidR="00263A18" w:rsidRPr="00E47233" w:rsidRDefault="00263A18" w:rsidP="00564B71">
            <w:pPr>
              <w:pStyle w:val="GIPstandaard"/>
              <w:jc w:val="both"/>
              <w:rPr>
                <w:rFonts w:ascii="Calibri" w:eastAsia="Times New Roman" w:hAnsi="Calibri" w:cs="Times New Roman"/>
              </w:rPr>
            </w:pPr>
            <m:oMathPara>
              <m:oMath>
                <m:f>
                  <m:fPr>
                    <m:ctrlPr>
                      <w:rPr>
                        <w:rFonts w:ascii="Cambria Math" w:hAnsi="Cambria Math"/>
                        <w:i/>
                      </w:rPr>
                    </m:ctrlPr>
                  </m:fPr>
                  <m:num>
                    <m:r>
                      <w:rPr>
                        <w:rFonts w:ascii="Cambria Math" w:hAnsi="Cambria Math"/>
                      </w:rPr>
                      <m:t>988 467,00</m:t>
                    </m:r>
                  </m:num>
                  <m:den>
                    <m:r>
                      <w:rPr>
                        <w:rFonts w:ascii="Cambria Math" w:hAnsi="Cambria Math"/>
                      </w:rPr>
                      <m:t>4 571 835,00+3 121 527,00+2 812 012,00</m:t>
                    </m:r>
                  </m:den>
                </m:f>
                <m:r>
                  <w:rPr>
                    <w:rFonts w:ascii="Cambria Math" w:hAnsi="Cambria Math"/>
                  </w:rPr>
                  <m:t xml:space="preserve"> ×365=34,34 dagen</m:t>
                </m:r>
              </m:oMath>
            </m:oMathPara>
          </w:p>
        </w:tc>
      </w:tr>
    </w:tbl>
    <w:p w:rsidR="00263A18" w:rsidRDefault="00263A18" w:rsidP="00263A18">
      <w:pPr>
        <w:pStyle w:val="GIPstandaard"/>
        <w:jc w:val="both"/>
      </w:pPr>
    </w:p>
    <w:p w:rsidR="00263A18" w:rsidRDefault="00263A18" w:rsidP="00263A18">
      <w:pPr>
        <w:pStyle w:val="GIPstandaard"/>
        <w:jc w:val="both"/>
      </w:pPr>
      <w:r>
        <w:t xml:space="preserve">De omlooptijd van de leverancierskrediet is gedaald met iets minder als 10 dagen. Dit betekent dat Indupol minder dagen de tijd heeft om de aangekochte goederen te betalen. Het zou kunnen dat deze dagen verminderd zijn zodat de leverancier korting voor contanten kan geven. </w:t>
      </w:r>
    </w:p>
    <w:p w:rsidR="00263A18" w:rsidRDefault="00263A18" w:rsidP="00263A18">
      <w:pPr>
        <w:pStyle w:val="GIPstandaard"/>
        <w:jc w:val="both"/>
      </w:pPr>
    </w:p>
    <w:p w:rsidR="00263A18" w:rsidRDefault="00263A18" w:rsidP="00263A18">
      <w:pPr>
        <w:rPr>
          <w:rFonts w:ascii="Arial" w:hAnsi="Arial"/>
          <w:b/>
          <w:sz w:val="28"/>
        </w:rPr>
      </w:pPr>
      <w:r>
        <w:br w:type="page"/>
      </w:r>
    </w:p>
    <w:p w:rsidR="00263A18" w:rsidRDefault="00263A18" w:rsidP="00263A18">
      <w:pPr>
        <w:pStyle w:val="GIPtitelNiv3"/>
        <w:numPr>
          <w:ilvl w:val="3"/>
          <w:numId w:val="1"/>
        </w:numPr>
        <w:ind w:left="1134" w:hanging="1134"/>
        <w:jc w:val="both"/>
      </w:pPr>
      <w:r>
        <w:rPr>
          <w:noProof/>
          <w:lang w:val="nl-BE" w:eastAsia="nl-BE"/>
        </w:rPr>
        <w:lastRenderedPageBreak/>
        <w:drawing>
          <wp:anchor distT="0" distB="0" distL="114300" distR="114300" simplePos="0" relativeHeight="251662336" behindDoc="1" locked="0" layoutInCell="1" allowOverlap="1">
            <wp:simplePos x="0" y="0"/>
            <wp:positionH relativeFrom="column">
              <wp:posOffset>-53340</wp:posOffset>
            </wp:positionH>
            <wp:positionV relativeFrom="paragraph">
              <wp:posOffset>335280</wp:posOffset>
            </wp:positionV>
            <wp:extent cx="5637530" cy="4211320"/>
            <wp:effectExtent l="0" t="0" r="127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7530" cy="4211320"/>
                    </a:xfrm>
                    <a:prstGeom prst="rect">
                      <a:avLst/>
                    </a:prstGeom>
                    <a:noFill/>
                  </pic:spPr>
                </pic:pic>
              </a:graphicData>
            </a:graphic>
          </wp:anchor>
        </w:drawing>
      </w:r>
      <w:bookmarkStart w:id="25" w:name="_Toc379030556"/>
      <w:r>
        <w:t>Schema omlooptijd</w:t>
      </w:r>
      <w:bookmarkEnd w:id="25"/>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p>
    <w:p w:rsidR="00263A18" w:rsidRDefault="00263A18" w:rsidP="00263A18">
      <w:pPr>
        <w:pStyle w:val="GIPstandaard"/>
        <w:jc w:val="both"/>
      </w:pPr>
      <w:r>
        <w:t xml:space="preserve">Doordat de omlooptijd van de goederen te lang duurt, komt het bedrijf in de problemen met betalen. Het leverancierskrediet lijkt hierdoor ook heel kort. Doordat het klantenkrediet nog eens boven de omlooptijd van de goederen wordt geteld, moet het leverancierskrediet eigenlijk 3 keer langer zijn. Het bedrijf moet de goederen met eigen geld betalen en daardoor staat er een 100 dagen ‘een schuld’. Deze schuld blijft staan totdat de klant betaald heeft. </w:t>
      </w:r>
    </w:p>
    <w:p w:rsidR="00263A18" w:rsidRDefault="00263A18" w:rsidP="00263A18">
      <w:pPr>
        <w:pStyle w:val="GIPstandaard"/>
        <w:jc w:val="both"/>
      </w:pPr>
    </w:p>
    <w:p w:rsidR="00263A18" w:rsidRDefault="00263A18" w:rsidP="00263A18">
      <w:pPr>
        <w:pStyle w:val="GIPstandaard"/>
        <w:jc w:val="both"/>
      </w:pPr>
      <w:r>
        <w:rPr>
          <w:noProof/>
          <w:lang w:val="nl-BE" w:eastAsia="nl-BE"/>
        </w:rPr>
        <w:drawing>
          <wp:inline distT="0" distB="0" distL="0" distR="0">
            <wp:extent cx="6057900" cy="3571875"/>
            <wp:effectExtent l="0" t="0" r="0" b="9525"/>
            <wp:docPr id="14" name="Objec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preferRelativeResize="0">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0" cy="3571875"/>
                    </a:xfrm>
                    <a:prstGeom prst="rect">
                      <a:avLst/>
                    </a:prstGeom>
                    <a:noFill/>
                    <a:ln>
                      <a:noFill/>
                    </a:ln>
                  </pic:spPr>
                </pic:pic>
              </a:graphicData>
            </a:graphic>
          </wp:inline>
        </w:drawing>
      </w:r>
      <w:r>
        <w:t xml:space="preserve"> Het leverancierskrediet heeft een sterke daling van 7 dagen meegemaakt. De omlooptijd van de goederen is langer geworden. Met gevolg dat het probleem bij het probleem alsmaar groter wordt en dat er tussen het leverancierskrediet en de inning </w:t>
      </w:r>
      <w:r>
        <w:lastRenderedPageBreak/>
        <w:t xml:space="preserve">van de goederen een steeds maar groter wordende tijd zit. Hierdoor blijft de ‘schuld ‘ steeds langer staan. </w:t>
      </w:r>
    </w:p>
    <w:p w:rsidR="00263A18" w:rsidRDefault="00263A18" w:rsidP="00263A18">
      <w:pPr>
        <w:pStyle w:val="GIPtitelNiv3"/>
        <w:numPr>
          <w:ilvl w:val="3"/>
          <w:numId w:val="1"/>
        </w:numPr>
        <w:ind w:left="1134" w:hanging="1134"/>
        <w:jc w:val="both"/>
      </w:pPr>
      <w:bookmarkStart w:id="26" w:name="_Toc379030557"/>
      <w:r>
        <w:t>Bespreking sociale balans.</w:t>
      </w:r>
      <w:bookmarkEnd w:id="26"/>
    </w:p>
    <w:p w:rsidR="00263A18" w:rsidRDefault="00263A18" w:rsidP="00263A18">
      <w:pPr>
        <w:pStyle w:val="GIPstandaard"/>
      </w:pPr>
    </w:p>
    <w:p w:rsidR="00263A18" w:rsidRPr="008A5119" w:rsidRDefault="00263A18" w:rsidP="00263A18">
      <w:pPr>
        <w:pStyle w:val="GIPstandaard"/>
        <w:numPr>
          <w:ilvl w:val="0"/>
          <w:numId w:val="8"/>
        </w:numPr>
        <w:jc w:val="both"/>
        <w:rPr>
          <w:b/>
        </w:rPr>
      </w:pPr>
      <w:r>
        <w:t xml:space="preserve">Gemiddeld personeel: Het gemiddeld aantal personeel waarvoor een </w:t>
      </w:r>
      <w:proofErr w:type="spellStart"/>
      <w:r>
        <w:t>DIMONA-aangifte</w:t>
      </w:r>
      <w:proofErr w:type="spellEnd"/>
      <w:r>
        <w:t xml:space="preserve"> werd ingediend. </w:t>
      </w:r>
    </w:p>
    <w:p w:rsidR="00263A18" w:rsidRPr="00982B49" w:rsidRDefault="00263A18" w:rsidP="00263A18">
      <w:pPr>
        <w:pStyle w:val="GIPstandaard"/>
        <w:numPr>
          <w:ilvl w:val="1"/>
          <w:numId w:val="8"/>
        </w:numPr>
        <w:jc w:val="both"/>
        <w:rPr>
          <w:b/>
        </w:rPr>
      </w:pPr>
      <w:r>
        <w:t>Voltijds: 63,1 = Man: 49 + Vrouw: 14,1</w:t>
      </w:r>
    </w:p>
    <w:p w:rsidR="00263A18" w:rsidRDefault="00263A18" w:rsidP="00263A18">
      <w:pPr>
        <w:pStyle w:val="GIPstandaard"/>
        <w:numPr>
          <w:ilvl w:val="1"/>
          <w:numId w:val="8"/>
        </w:numPr>
        <w:jc w:val="both"/>
      </w:pPr>
      <w:r w:rsidRPr="00982B49">
        <w:t>Deeltijds: 30,5</w:t>
      </w:r>
      <w:r>
        <w:t xml:space="preserve"> = Man: 30,5 + Vrouw: 17,2</w:t>
      </w:r>
    </w:p>
    <w:p w:rsidR="00263A18" w:rsidRDefault="00263A18" w:rsidP="00263A18">
      <w:pPr>
        <w:pStyle w:val="GIPstandaard"/>
        <w:numPr>
          <w:ilvl w:val="1"/>
          <w:numId w:val="8"/>
        </w:numPr>
        <w:jc w:val="both"/>
      </w:pPr>
      <w:r>
        <w:t>Totaal VTE:87,2 = Man: 60 + Vrouw: 27,2</w:t>
      </w:r>
    </w:p>
    <w:p w:rsidR="00263A18" w:rsidRDefault="00263A18" w:rsidP="00263A18">
      <w:pPr>
        <w:pStyle w:val="GIPstandaard"/>
        <w:ind w:left="1080"/>
        <w:jc w:val="both"/>
      </w:pPr>
      <w:r>
        <w:sym w:font="Wingdings" w:char="F0E0"/>
      </w:r>
      <w:r>
        <w:t xml:space="preserve"> Het bedrijf telt een meerderheid aan mannen. Ik denk dat dit er ook wel mee te maken heeft dat het fabriekswerk is zonder lopende band. Dat is al zwaarder werk, vandaar een meerderheid aan mannelijk personeel.</w:t>
      </w:r>
    </w:p>
    <w:p w:rsidR="00263A18" w:rsidRDefault="00263A18" w:rsidP="00263A18">
      <w:pPr>
        <w:pStyle w:val="GIPstandaard"/>
        <w:numPr>
          <w:ilvl w:val="0"/>
          <w:numId w:val="8"/>
        </w:numPr>
        <w:jc w:val="both"/>
      </w:pPr>
      <w:r>
        <w:t xml:space="preserve">Diploma’s personeel: </w:t>
      </w:r>
    </w:p>
    <w:p w:rsidR="00263A18" w:rsidRDefault="00263A18" w:rsidP="00263A18">
      <w:pPr>
        <w:pStyle w:val="GIPstandaard"/>
        <w:numPr>
          <w:ilvl w:val="1"/>
          <w:numId w:val="8"/>
        </w:numPr>
        <w:jc w:val="both"/>
      </w:pPr>
      <w:r>
        <w:t>Lager onderwijs:3,1 = 1,8 man + 1,3 vrouw</w:t>
      </w:r>
    </w:p>
    <w:p w:rsidR="00263A18" w:rsidRDefault="00263A18" w:rsidP="00263A18">
      <w:pPr>
        <w:pStyle w:val="GIPstandaard"/>
        <w:numPr>
          <w:ilvl w:val="1"/>
          <w:numId w:val="8"/>
        </w:numPr>
        <w:jc w:val="both"/>
      </w:pPr>
      <w:r>
        <w:t>Secundair onderwijs:78,7 =54,7 man + 24 vrouw</w:t>
      </w:r>
    </w:p>
    <w:p w:rsidR="00263A18" w:rsidRDefault="00263A18" w:rsidP="00263A18">
      <w:pPr>
        <w:pStyle w:val="GIPstandaard"/>
        <w:numPr>
          <w:ilvl w:val="1"/>
          <w:numId w:val="8"/>
        </w:numPr>
        <w:jc w:val="both"/>
      </w:pPr>
      <w:r>
        <w:t>Hoger niet-universitair onderwijs: 4 =4 man + 0 vrouw</w:t>
      </w:r>
    </w:p>
    <w:p w:rsidR="00263A18" w:rsidRDefault="00263A18" w:rsidP="00263A18">
      <w:pPr>
        <w:pStyle w:val="GIPstandaard"/>
        <w:numPr>
          <w:ilvl w:val="1"/>
          <w:numId w:val="8"/>
        </w:numPr>
        <w:jc w:val="both"/>
      </w:pPr>
      <w:r>
        <w:t>Universitair onderwijs: 2= 2 man + 0 vrouw</w:t>
      </w:r>
    </w:p>
    <w:p w:rsidR="00263A18" w:rsidRDefault="00263A18" w:rsidP="00263A18">
      <w:pPr>
        <w:pStyle w:val="GIPstandaard"/>
        <w:ind w:left="1440"/>
        <w:jc w:val="both"/>
      </w:pPr>
      <w:r>
        <w:sym w:font="Wingdings" w:char="F0E0"/>
      </w:r>
      <w:r>
        <w:t xml:space="preserve"> Het meeste personeel is gestopt na het secundaire onderwijs. Het personeel met een diploma van het hoger/universitair onderwijs is minimaal in vergelijking met het totaal van het personeel.</w:t>
      </w:r>
    </w:p>
    <w:p w:rsidR="00263A18" w:rsidRDefault="00263A18" w:rsidP="00263A18">
      <w:pPr>
        <w:pStyle w:val="GIPstandaard"/>
        <w:numPr>
          <w:ilvl w:val="0"/>
          <w:numId w:val="8"/>
        </w:numPr>
        <w:jc w:val="both"/>
      </w:pPr>
      <w:r>
        <w:t>Opleidingen tijdens het boekjaar: Een overzicht van de opleidingen die het personeel heeft gevolgd vanuit het bedrijf</w:t>
      </w:r>
    </w:p>
    <w:p w:rsidR="00263A18" w:rsidRDefault="00263A18" w:rsidP="00263A18">
      <w:pPr>
        <w:pStyle w:val="GIPstandaard"/>
        <w:numPr>
          <w:ilvl w:val="1"/>
          <w:numId w:val="8"/>
        </w:numPr>
        <w:jc w:val="both"/>
      </w:pPr>
      <w:r>
        <w:t>Aantal betrokken werknemers: 50 = 48 mannen + 2 vrouwen</w:t>
      </w:r>
    </w:p>
    <w:p w:rsidR="00263A18" w:rsidRDefault="00263A18" w:rsidP="00263A18">
      <w:pPr>
        <w:pStyle w:val="GIPstandaard"/>
        <w:numPr>
          <w:ilvl w:val="1"/>
          <w:numId w:val="8"/>
        </w:numPr>
        <w:jc w:val="both"/>
      </w:pPr>
      <w:r>
        <w:t>Aantal gevolgde opleidingsuren:279 =263 mannen +16 vrouwen</w:t>
      </w:r>
    </w:p>
    <w:p w:rsidR="00263A18" w:rsidRDefault="00263A18" w:rsidP="00263A18">
      <w:pPr>
        <w:pStyle w:val="GIPstandaard"/>
        <w:ind w:left="1440"/>
        <w:jc w:val="both"/>
      </w:pPr>
      <w:r>
        <w:sym w:font="Wingdings" w:char="F0E0"/>
      </w:r>
      <w:r>
        <w:t xml:space="preserve"> Zoals hier te zien, is dat de meeste opleidingen door de mannen is gebeurd. Dit kan wel komen doordat de meerderheid van de mannen gestopt is na het secundaire onderwijs. </w:t>
      </w:r>
    </w:p>
    <w:p w:rsidR="00263A18" w:rsidRDefault="00263A18" w:rsidP="00263A18">
      <w:pPr>
        <w:pStyle w:val="GIPstandaard"/>
        <w:ind w:left="1440"/>
        <w:jc w:val="both"/>
      </w:pPr>
    </w:p>
    <w:p w:rsidR="00263A18" w:rsidRPr="002918AC" w:rsidRDefault="00263A18" w:rsidP="00263A18">
      <w:pPr>
        <w:pStyle w:val="GIPtitelNiv2"/>
        <w:numPr>
          <w:ilvl w:val="1"/>
          <w:numId w:val="1"/>
        </w:numPr>
        <w:ind w:left="1134" w:hanging="1134"/>
        <w:jc w:val="both"/>
      </w:pPr>
      <w:r>
        <w:br w:type="page"/>
      </w:r>
    </w:p>
    <w:p w:rsidR="00263A18" w:rsidRDefault="00263A18" w:rsidP="00263A18">
      <w:pPr>
        <w:pStyle w:val="GIPtitelNiv3"/>
        <w:numPr>
          <w:ilvl w:val="3"/>
          <w:numId w:val="1"/>
        </w:numPr>
        <w:ind w:left="1134" w:hanging="1134"/>
        <w:jc w:val="both"/>
      </w:pPr>
      <w:bookmarkStart w:id="27" w:name="_Toc379030558"/>
      <w:r>
        <w:lastRenderedPageBreak/>
        <w:t>Sectorgemiddelden</w:t>
      </w:r>
      <w:r>
        <w:rPr>
          <w:rStyle w:val="Voetnootmarkering"/>
        </w:rPr>
        <w:footnoteReference w:id="1"/>
      </w:r>
      <w:bookmarkEnd w:id="27"/>
    </w:p>
    <w:p w:rsidR="00263A18" w:rsidRPr="00982B49" w:rsidRDefault="00263A18" w:rsidP="00263A18">
      <w:pPr>
        <w:pStyle w:val="GIPstandaard"/>
      </w:pPr>
    </w:p>
    <w:p w:rsidR="00263A18" w:rsidRDefault="00263A18" w:rsidP="00263A18">
      <w:pPr>
        <w:pStyle w:val="GIPstandaard"/>
        <w:jc w:val="both"/>
        <w:rPr>
          <w:b/>
        </w:rPr>
      </w:pPr>
      <w:r>
        <w:rPr>
          <w:b/>
          <w:noProof/>
          <w:lang w:val="nl-BE" w:eastAsia="nl-BE"/>
        </w:rPr>
        <w:drawing>
          <wp:inline distT="0" distB="0" distL="0" distR="0">
            <wp:extent cx="5543328" cy="3095625"/>
            <wp:effectExtent l="19050" t="0" r="222" b="0"/>
            <wp:docPr id="148" name="Afbeelding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cstate="print"/>
                    <a:srcRect l="28817" t="38629" r="33434" b="23893"/>
                    <a:stretch>
                      <a:fillRect/>
                    </a:stretch>
                  </pic:blipFill>
                  <pic:spPr bwMode="auto">
                    <a:xfrm>
                      <a:off x="0" y="0"/>
                      <a:ext cx="5543328" cy="3095625"/>
                    </a:xfrm>
                    <a:prstGeom prst="rect">
                      <a:avLst/>
                    </a:prstGeom>
                    <a:noFill/>
                    <a:ln w="9525">
                      <a:noFill/>
                      <a:miter lim="800000"/>
                      <a:headEnd/>
                      <a:tailEnd/>
                    </a:ln>
                  </pic:spPr>
                </pic:pic>
              </a:graphicData>
            </a:graphic>
          </wp:inline>
        </w:drawing>
      </w:r>
    </w:p>
    <w:p w:rsidR="00263A18" w:rsidRDefault="00263A18" w:rsidP="00263A18">
      <w:pPr>
        <w:pStyle w:val="GIPstandaard"/>
        <w:jc w:val="both"/>
        <w:rPr>
          <w:b/>
        </w:rPr>
      </w:pPr>
    </w:p>
    <w:tbl>
      <w:tblPr>
        <w:tblStyle w:val="Tabelraster"/>
        <w:tblW w:w="0" w:type="auto"/>
        <w:jc w:val="center"/>
        <w:tblLook w:val="04A0"/>
      </w:tblPr>
      <w:tblGrid>
        <w:gridCol w:w="1677"/>
        <w:gridCol w:w="1775"/>
        <w:gridCol w:w="16"/>
        <w:gridCol w:w="2305"/>
      </w:tblGrid>
      <w:tr w:rsidR="00263A18" w:rsidTr="00564B71">
        <w:trPr>
          <w:trHeight w:val="277"/>
          <w:jc w:val="center"/>
        </w:trPr>
        <w:tc>
          <w:tcPr>
            <w:tcW w:w="1677" w:type="dxa"/>
          </w:tcPr>
          <w:p w:rsidR="00263A18" w:rsidRPr="00592F68" w:rsidRDefault="00263A18" w:rsidP="00564B71">
            <w:pPr>
              <w:pStyle w:val="GIPstandaard"/>
              <w:jc w:val="center"/>
            </w:pPr>
          </w:p>
        </w:tc>
        <w:tc>
          <w:tcPr>
            <w:tcW w:w="4095" w:type="dxa"/>
            <w:gridSpan w:val="3"/>
          </w:tcPr>
          <w:p w:rsidR="00263A18" w:rsidRPr="00592F68" w:rsidRDefault="00263A18" w:rsidP="00564B71">
            <w:pPr>
              <w:pStyle w:val="GIPstandaard"/>
              <w:jc w:val="center"/>
            </w:pPr>
            <w:r w:rsidRPr="00592F68">
              <w:t>201</w:t>
            </w:r>
            <w:r>
              <w:t>2</w:t>
            </w:r>
          </w:p>
        </w:tc>
      </w:tr>
      <w:tr w:rsidR="00263A18" w:rsidTr="00564B71">
        <w:trPr>
          <w:trHeight w:val="292"/>
          <w:jc w:val="center"/>
        </w:trPr>
        <w:tc>
          <w:tcPr>
            <w:tcW w:w="1677" w:type="dxa"/>
          </w:tcPr>
          <w:p w:rsidR="00263A18" w:rsidRPr="00592F68" w:rsidRDefault="00263A18" w:rsidP="00564B71">
            <w:pPr>
              <w:pStyle w:val="GIPstandaard"/>
              <w:jc w:val="center"/>
            </w:pPr>
          </w:p>
        </w:tc>
        <w:tc>
          <w:tcPr>
            <w:tcW w:w="1775" w:type="dxa"/>
          </w:tcPr>
          <w:p w:rsidR="00263A18" w:rsidRPr="00592F68" w:rsidRDefault="00263A18" w:rsidP="00564B71">
            <w:pPr>
              <w:pStyle w:val="GIPstandaard"/>
              <w:jc w:val="center"/>
            </w:pPr>
            <w:r>
              <w:t>Indupol</w:t>
            </w:r>
          </w:p>
        </w:tc>
        <w:tc>
          <w:tcPr>
            <w:tcW w:w="2321" w:type="dxa"/>
            <w:gridSpan w:val="2"/>
          </w:tcPr>
          <w:p w:rsidR="00263A18" w:rsidRPr="00592F68" w:rsidRDefault="00263A18" w:rsidP="00564B71">
            <w:pPr>
              <w:pStyle w:val="GIPstandaard"/>
              <w:jc w:val="center"/>
            </w:pPr>
            <w:r>
              <w:t>Sectorgemiddelde</w:t>
            </w:r>
          </w:p>
        </w:tc>
      </w:tr>
      <w:tr w:rsidR="00263A18" w:rsidTr="00564B71">
        <w:trPr>
          <w:trHeight w:val="277"/>
          <w:jc w:val="center"/>
        </w:trPr>
        <w:tc>
          <w:tcPr>
            <w:tcW w:w="1677" w:type="dxa"/>
          </w:tcPr>
          <w:p w:rsidR="00263A18" w:rsidRPr="00E275C0" w:rsidRDefault="00263A18" w:rsidP="00564B71">
            <w:pPr>
              <w:pStyle w:val="GIPstandaard"/>
              <w:jc w:val="center"/>
            </w:pPr>
            <w:r w:rsidRPr="00E275C0">
              <w:t>REV</w:t>
            </w:r>
          </w:p>
        </w:tc>
        <w:tc>
          <w:tcPr>
            <w:tcW w:w="1791" w:type="dxa"/>
            <w:gridSpan w:val="2"/>
          </w:tcPr>
          <w:p w:rsidR="00263A18" w:rsidRPr="00E275C0" w:rsidRDefault="00263A18" w:rsidP="00564B71">
            <w:pPr>
              <w:pStyle w:val="GIPstandaard"/>
              <w:jc w:val="center"/>
            </w:pPr>
            <w:r w:rsidRPr="00E275C0">
              <w:t>5%</w:t>
            </w:r>
          </w:p>
        </w:tc>
        <w:tc>
          <w:tcPr>
            <w:tcW w:w="2304" w:type="dxa"/>
          </w:tcPr>
          <w:p w:rsidR="00263A18" w:rsidRPr="00E275C0" w:rsidRDefault="00263A18" w:rsidP="00564B71">
            <w:pPr>
              <w:pStyle w:val="GIPstandaard"/>
              <w:jc w:val="center"/>
            </w:pPr>
            <w:r w:rsidRPr="00E275C0">
              <w:t>1,6</w:t>
            </w:r>
            <w:r>
              <w:t xml:space="preserve">  %</w:t>
            </w:r>
          </w:p>
        </w:tc>
      </w:tr>
      <w:tr w:rsidR="00263A18" w:rsidTr="00564B71">
        <w:trPr>
          <w:trHeight w:val="277"/>
          <w:jc w:val="center"/>
        </w:trPr>
        <w:tc>
          <w:tcPr>
            <w:tcW w:w="1677" w:type="dxa"/>
          </w:tcPr>
          <w:p w:rsidR="00263A18" w:rsidRPr="00E275C0" w:rsidRDefault="00263A18" w:rsidP="00564B71">
            <w:pPr>
              <w:pStyle w:val="GIPstandaard"/>
              <w:jc w:val="center"/>
            </w:pPr>
            <w:proofErr w:type="spellStart"/>
            <w:r w:rsidRPr="00E275C0">
              <w:t>Current</w:t>
            </w:r>
            <w:proofErr w:type="spellEnd"/>
            <w:r w:rsidRPr="00E275C0">
              <w:t xml:space="preserve"> ratio</w:t>
            </w:r>
          </w:p>
        </w:tc>
        <w:tc>
          <w:tcPr>
            <w:tcW w:w="1791" w:type="dxa"/>
            <w:gridSpan w:val="2"/>
          </w:tcPr>
          <w:p w:rsidR="00263A18" w:rsidRPr="00E275C0" w:rsidRDefault="00263A18" w:rsidP="00564B71">
            <w:pPr>
              <w:pStyle w:val="GIPstandaard"/>
              <w:jc w:val="center"/>
            </w:pPr>
            <w:r w:rsidRPr="00E275C0">
              <w:t>3,12</w:t>
            </w:r>
          </w:p>
        </w:tc>
        <w:tc>
          <w:tcPr>
            <w:tcW w:w="2304" w:type="dxa"/>
          </w:tcPr>
          <w:p w:rsidR="00263A18" w:rsidRPr="00E275C0" w:rsidRDefault="00263A18" w:rsidP="00564B71">
            <w:pPr>
              <w:pStyle w:val="GIPstandaard"/>
              <w:jc w:val="center"/>
            </w:pPr>
            <w:r w:rsidRPr="00E275C0">
              <w:t>0,69</w:t>
            </w:r>
          </w:p>
        </w:tc>
      </w:tr>
      <w:tr w:rsidR="00263A18" w:rsidTr="00564B71">
        <w:trPr>
          <w:trHeight w:val="277"/>
          <w:jc w:val="center"/>
        </w:trPr>
        <w:tc>
          <w:tcPr>
            <w:tcW w:w="1677" w:type="dxa"/>
          </w:tcPr>
          <w:p w:rsidR="00263A18" w:rsidRPr="00E275C0" w:rsidRDefault="00263A18" w:rsidP="00564B71">
            <w:pPr>
              <w:pStyle w:val="GIPstandaard"/>
              <w:jc w:val="center"/>
            </w:pPr>
            <w:proofErr w:type="spellStart"/>
            <w:r w:rsidRPr="00E275C0">
              <w:t>Quick</w:t>
            </w:r>
            <w:proofErr w:type="spellEnd"/>
            <w:r w:rsidRPr="00E275C0">
              <w:t xml:space="preserve"> Ratio</w:t>
            </w:r>
          </w:p>
        </w:tc>
        <w:tc>
          <w:tcPr>
            <w:tcW w:w="1791" w:type="dxa"/>
            <w:gridSpan w:val="2"/>
          </w:tcPr>
          <w:p w:rsidR="00263A18" w:rsidRPr="00E275C0" w:rsidRDefault="00263A18" w:rsidP="00564B71">
            <w:pPr>
              <w:pStyle w:val="GIPstandaard"/>
              <w:jc w:val="center"/>
            </w:pPr>
            <w:r w:rsidRPr="00E275C0">
              <w:t>2,42</w:t>
            </w:r>
          </w:p>
        </w:tc>
        <w:tc>
          <w:tcPr>
            <w:tcW w:w="2304" w:type="dxa"/>
          </w:tcPr>
          <w:p w:rsidR="00263A18" w:rsidRPr="00E275C0" w:rsidRDefault="00263A18" w:rsidP="00564B71">
            <w:pPr>
              <w:pStyle w:val="GIPstandaard"/>
              <w:jc w:val="center"/>
            </w:pPr>
            <w:r w:rsidRPr="00E275C0">
              <w:t>0,36</w:t>
            </w:r>
          </w:p>
        </w:tc>
      </w:tr>
      <w:tr w:rsidR="00263A18" w:rsidTr="00564B71">
        <w:trPr>
          <w:trHeight w:val="277"/>
          <w:jc w:val="center"/>
        </w:trPr>
        <w:tc>
          <w:tcPr>
            <w:tcW w:w="1677" w:type="dxa"/>
          </w:tcPr>
          <w:p w:rsidR="00263A18" w:rsidRPr="00E275C0" w:rsidRDefault="00263A18" w:rsidP="00564B71">
            <w:pPr>
              <w:pStyle w:val="GIPstandaard"/>
              <w:jc w:val="center"/>
            </w:pPr>
            <w:r w:rsidRPr="00E275C0">
              <w:t>Solvabiliteit</w:t>
            </w:r>
          </w:p>
        </w:tc>
        <w:tc>
          <w:tcPr>
            <w:tcW w:w="1791" w:type="dxa"/>
            <w:gridSpan w:val="2"/>
          </w:tcPr>
          <w:p w:rsidR="00263A18" w:rsidRPr="00E275C0" w:rsidRDefault="00263A18" w:rsidP="00564B71">
            <w:pPr>
              <w:pStyle w:val="GIPstandaard"/>
              <w:jc w:val="center"/>
            </w:pPr>
            <w:r w:rsidRPr="00E275C0">
              <w:t>67%</w:t>
            </w:r>
          </w:p>
        </w:tc>
        <w:tc>
          <w:tcPr>
            <w:tcW w:w="2304" w:type="dxa"/>
          </w:tcPr>
          <w:p w:rsidR="00263A18" w:rsidRPr="00E275C0" w:rsidRDefault="00263A18" w:rsidP="00564B71">
            <w:pPr>
              <w:pStyle w:val="GIPstandaard"/>
              <w:jc w:val="center"/>
            </w:pPr>
            <w:r w:rsidRPr="00E275C0">
              <w:t>23,6%</w:t>
            </w:r>
          </w:p>
        </w:tc>
      </w:tr>
      <w:tr w:rsidR="00263A18" w:rsidTr="00564B71">
        <w:trPr>
          <w:trHeight w:val="277"/>
          <w:jc w:val="center"/>
        </w:trPr>
        <w:tc>
          <w:tcPr>
            <w:tcW w:w="1677" w:type="dxa"/>
          </w:tcPr>
          <w:p w:rsidR="00263A18" w:rsidRPr="00E275C0" w:rsidRDefault="00263A18" w:rsidP="00564B71">
            <w:pPr>
              <w:pStyle w:val="GIPstandaard"/>
              <w:jc w:val="center"/>
            </w:pPr>
            <w:r w:rsidRPr="00E275C0">
              <w:t>Klantkrediet</w:t>
            </w:r>
          </w:p>
        </w:tc>
        <w:tc>
          <w:tcPr>
            <w:tcW w:w="1791" w:type="dxa"/>
            <w:gridSpan w:val="2"/>
          </w:tcPr>
          <w:p w:rsidR="00263A18" w:rsidRPr="00E275C0" w:rsidRDefault="00263A18" w:rsidP="00564B71">
            <w:pPr>
              <w:pStyle w:val="GIPstandaard"/>
              <w:jc w:val="center"/>
            </w:pPr>
            <w:r w:rsidRPr="00E275C0">
              <w:t>65,35</w:t>
            </w:r>
            <w:r>
              <w:t xml:space="preserve"> dagen</w:t>
            </w:r>
          </w:p>
        </w:tc>
        <w:tc>
          <w:tcPr>
            <w:tcW w:w="2304" w:type="dxa"/>
          </w:tcPr>
          <w:p w:rsidR="00263A18" w:rsidRPr="00E275C0" w:rsidRDefault="00263A18" w:rsidP="00564B71">
            <w:pPr>
              <w:pStyle w:val="GIPstandaard"/>
              <w:jc w:val="center"/>
            </w:pPr>
            <w:r w:rsidRPr="00E275C0">
              <w:t>44</w:t>
            </w:r>
            <w:r>
              <w:t xml:space="preserve"> dagen </w:t>
            </w:r>
          </w:p>
        </w:tc>
      </w:tr>
      <w:tr w:rsidR="00263A18" w:rsidTr="00564B71">
        <w:trPr>
          <w:trHeight w:val="277"/>
          <w:jc w:val="center"/>
        </w:trPr>
        <w:tc>
          <w:tcPr>
            <w:tcW w:w="1677" w:type="dxa"/>
          </w:tcPr>
          <w:p w:rsidR="00263A18" w:rsidRPr="00E275C0" w:rsidRDefault="00263A18" w:rsidP="00564B71">
            <w:pPr>
              <w:pStyle w:val="GIPstandaard"/>
              <w:jc w:val="center"/>
            </w:pPr>
            <w:proofErr w:type="spellStart"/>
            <w:r w:rsidRPr="00E275C0">
              <w:t>Lev</w:t>
            </w:r>
            <w:proofErr w:type="spellEnd"/>
            <w:r w:rsidRPr="00E275C0">
              <w:t xml:space="preserve"> krediet</w:t>
            </w:r>
          </w:p>
        </w:tc>
        <w:tc>
          <w:tcPr>
            <w:tcW w:w="1791" w:type="dxa"/>
            <w:gridSpan w:val="2"/>
          </w:tcPr>
          <w:p w:rsidR="00263A18" w:rsidRPr="00E275C0" w:rsidRDefault="00263A18" w:rsidP="00564B71">
            <w:pPr>
              <w:pStyle w:val="GIPstandaard"/>
              <w:jc w:val="center"/>
            </w:pPr>
            <w:r>
              <w:t>34,34 dagen</w:t>
            </w:r>
          </w:p>
        </w:tc>
        <w:tc>
          <w:tcPr>
            <w:tcW w:w="2304" w:type="dxa"/>
          </w:tcPr>
          <w:p w:rsidR="00263A18" w:rsidRPr="00E275C0" w:rsidRDefault="00263A18" w:rsidP="00564B71">
            <w:pPr>
              <w:pStyle w:val="GIPstandaard"/>
              <w:jc w:val="center"/>
            </w:pPr>
            <w:r w:rsidRPr="00E275C0">
              <w:t>54</w:t>
            </w:r>
            <w:r>
              <w:t xml:space="preserve"> dagen</w:t>
            </w:r>
          </w:p>
        </w:tc>
      </w:tr>
      <w:tr w:rsidR="00263A18" w:rsidTr="00564B71">
        <w:trPr>
          <w:trHeight w:val="331"/>
          <w:jc w:val="center"/>
        </w:trPr>
        <w:tc>
          <w:tcPr>
            <w:tcW w:w="1677" w:type="dxa"/>
          </w:tcPr>
          <w:p w:rsidR="00263A18" w:rsidRPr="00E275C0" w:rsidRDefault="00263A18" w:rsidP="00564B71">
            <w:pPr>
              <w:pStyle w:val="GIPstandaard"/>
              <w:jc w:val="center"/>
            </w:pPr>
            <w:r w:rsidRPr="00E275C0">
              <w:t>OT voorraad</w:t>
            </w:r>
          </w:p>
        </w:tc>
        <w:tc>
          <w:tcPr>
            <w:tcW w:w="1791" w:type="dxa"/>
            <w:gridSpan w:val="2"/>
          </w:tcPr>
          <w:p w:rsidR="00263A18" w:rsidRPr="00E275C0" w:rsidRDefault="00263A18" w:rsidP="00564B71">
            <w:pPr>
              <w:pStyle w:val="GIPstandaard"/>
              <w:jc w:val="center"/>
            </w:pPr>
            <w:r>
              <w:t>123,44 dagen</w:t>
            </w:r>
          </w:p>
        </w:tc>
        <w:tc>
          <w:tcPr>
            <w:tcW w:w="2304" w:type="dxa"/>
          </w:tcPr>
          <w:p w:rsidR="00263A18" w:rsidRPr="00E275C0" w:rsidRDefault="00263A18" w:rsidP="00564B71">
            <w:pPr>
              <w:pStyle w:val="GIPstandaard"/>
              <w:jc w:val="center"/>
            </w:pPr>
            <w:r>
              <w:t>9,1 dagen</w:t>
            </w:r>
          </w:p>
        </w:tc>
      </w:tr>
    </w:tbl>
    <w:p w:rsidR="00263A18" w:rsidRDefault="00263A18" w:rsidP="00263A18">
      <w:pPr>
        <w:pStyle w:val="GIPstandaard"/>
        <w:jc w:val="both"/>
      </w:pPr>
    </w:p>
    <w:p w:rsidR="00263A18" w:rsidRDefault="00263A18" w:rsidP="00263A18">
      <w:pPr>
        <w:pStyle w:val="GIPstandaard"/>
        <w:jc w:val="both"/>
      </w:pPr>
      <w:r>
        <w:t>Voor Indupol heb ik het sectorgemiddelde van de ijzer -en staalindustrie geraadpleegd.</w:t>
      </w:r>
    </w:p>
    <w:p w:rsidR="00263A18" w:rsidRDefault="00263A18" w:rsidP="00263A18">
      <w:pPr>
        <w:pStyle w:val="GIPstandaard"/>
        <w:jc w:val="both"/>
      </w:pPr>
    </w:p>
    <w:p w:rsidR="00263A18" w:rsidRPr="00092AF5" w:rsidRDefault="00263A18" w:rsidP="00263A18">
      <w:pPr>
        <w:pStyle w:val="GIPstandaard"/>
        <w:jc w:val="both"/>
      </w:pPr>
      <w:r>
        <w:t>Indupol ligt overal ver boven het sectorgemiddelde. Bij de klantkrediet kan dit een voordeel zijn maar ook een nadeel, namelijk dat de klanten niet snel genoeg betalen en Indupol zelf tijdelijk moet betalen. Bij het leveranciers krediet ligt Indupol er dan weer onder. Dit kan komen door weinig vertrouwen (negatief) of dat het bedrijf een kans maakt op extra kortingen (positief). De liquiditeiten liggen ver boven het gemiddelde. Dit vind ik wel positief. Maar dit kan ook betekenen dat Indupol te veel vlottende activa heeft. Het enige onderdeel waar Indupol onder het sectorgemiddelde ligt is OT voorraad. Hier ligt Indupol dan ook wel meteen heel ver onder, er is namelijk een verschil van meer dan 110 dagen.</w:t>
      </w:r>
    </w:p>
    <w:p w:rsidR="00A61B1D" w:rsidRDefault="00A61B1D"/>
    <w:sectPr w:rsidR="00A61B1D" w:rsidSect="00A61B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A18" w:rsidRDefault="00263A18" w:rsidP="00263A18">
      <w:pPr>
        <w:spacing w:after="0" w:line="240" w:lineRule="auto"/>
      </w:pPr>
      <w:r>
        <w:separator/>
      </w:r>
    </w:p>
  </w:endnote>
  <w:endnote w:type="continuationSeparator" w:id="0">
    <w:p w:rsidR="00263A18" w:rsidRDefault="00263A18" w:rsidP="00263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A18" w:rsidRDefault="00263A18" w:rsidP="00263A18">
      <w:pPr>
        <w:spacing w:after="0" w:line="240" w:lineRule="auto"/>
      </w:pPr>
      <w:r>
        <w:separator/>
      </w:r>
    </w:p>
  </w:footnote>
  <w:footnote w:type="continuationSeparator" w:id="0">
    <w:p w:rsidR="00263A18" w:rsidRDefault="00263A18" w:rsidP="00263A18">
      <w:pPr>
        <w:spacing w:after="0" w:line="240" w:lineRule="auto"/>
      </w:pPr>
      <w:r>
        <w:continuationSeparator/>
      </w:r>
    </w:p>
  </w:footnote>
  <w:footnote w:id="1">
    <w:p w:rsidR="00263A18" w:rsidRPr="00C46BA0" w:rsidRDefault="00263A18" w:rsidP="00263A18">
      <w:pPr>
        <w:pStyle w:val="Voetnoottekst"/>
      </w:pPr>
      <w:r>
        <w:rPr>
          <w:rStyle w:val="Voetnootmarkering"/>
        </w:rPr>
        <w:footnoteRef/>
      </w:r>
      <w:r>
        <w:t xml:space="preserve"> Gevonden op de website van de Nationale Bank : http://www.nbb.be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B10"/>
    <w:multiLevelType w:val="multilevel"/>
    <w:tmpl w:val="36606F16"/>
    <w:lvl w:ilvl="0">
      <w:start w:val="1"/>
      <w:numFmt w:val="decimal"/>
      <w:lvlText w:val="%1"/>
      <w:lvlJc w:val="left"/>
      <w:pPr>
        <w:ind w:left="727"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0F1D729C"/>
    <w:multiLevelType w:val="hybridMultilevel"/>
    <w:tmpl w:val="13E221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8BC4180"/>
    <w:multiLevelType w:val="hybridMultilevel"/>
    <w:tmpl w:val="ECB476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96E6ABD"/>
    <w:multiLevelType w:val="hybridMultilevel"/>
    <w:tmpl w:val="2AE26852"/>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4">
    <w:nsid w:val="3DD857F5"/>
    <w:multiLevelType w:val="hybridMultilevel"/>
    <w:tmpl w:val="9FCAAC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FD814B5"/>
    <w:multiLevelType w:val="hybridMultilevel"/>
    <w:tmpl w:val="42203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73758FE"/>
    <w:multiLevelType w:val="hybridMultilevel"/>
    <w:tmpl w:val="B3AC59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97D6A2E"/>
    <w:multiLevelType w:val="hybridMultilevel"/>
    <w:tmpl w:val="869C8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B3F3CC5"/>
    <w:multiLevelType w:val="hybridMultilevel"/>
    <w:tmpl w:val="16C4A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5437B50"/>
    <w:multiLevelType w:val="hybridMultilevel"/>
    <w:tmpl w:val="DF9ACD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57F54A3"/>
    <w:multiLevelType w:val="hybridMultilevel"/>
    <w:tmpl w:val="8CDC7B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93C417A"/>
    <w:multiLevelType w:val="hybridMultilevel"/>
    <w:tmpl w:val="7A462F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
  </w:num>
  <w:num w:numId="5">
    <w:abstractNumId w:val="11"/>
  </w:num>
  <w:num w:numId="6">
    <w:abstractNumId w:val="6"/>
  </w:num>
  <w:num w:numId="7">
    <w:abstractNumId w:val="7"/>
  </w:num>
  <w:num w:numId="8">
    <w:abstractNumId w:val="2"/>
  </w:num>
  <w:num w:numId="9">
    <w:abstractNumId w:val="5"/>
  </w:num>
  <w:num w:numId="10">
    <w:abstractNumId w:val="9"/>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63A18"/>
    <w:rsid w:val="00263A18"/>
    <w:rsid w:val="003B34CF"/>
    <w:rsid w:val="004F6083"/>
    <w:rsid w:val="008B619F"/>
    <w:rsid w:val="00A02408"/>
    <w:rsid w:val="00A61B1D"/>
    <w:rsid w:val="00A81043"/>
    <w:rsid w:val="00B21ED3"/>
    <w:rsid w:val="00B972B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3A18"/>
    <w:rPr>
      <w:rFonts w:eastAsiaTheme="minorEastAsia"/>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IPTitelniv1">
    <w:name w:val="GIP Titel niv 1"/>
    <w:qFormat/>
    <w:rsid w:val="00263A18"/>
    <w:pPr>
      <w:spacing w:after="0" w:line="240" w:lineRule="auto"/>
    </w:pPr>
    <w:rPr>
      <w:rFonts w:ascii="Arial" w:eastAsiaTheme="minorEastAsia" w:hAnsi="Arial"/>
      <w:b/>
      <w:sz w:val="48"/>
      <w:lang w:val="nl-NL" w:eastAsia="nl-NL"/>
    </w:rPr>
  </w:style>
  <w:style w:type="paragraph" w:customStyle="1" w:styleId="GIPtitelNiv2">
    <w:name w:val="GIP titel Niv 2"/>
    <w:basedOn w:val="GIPTitelniv1"/>
    <w:qFormat/>
    <w:rsid w:val="00263A18"/>
    <w:rPr>
      <w:sz w:val="36"/>
    </w:rPr>
  </w:style>
  <w:style w:type="paragraph" w:customStyle="1" w:styleId="GIPtitelNiv3">
    <w:name w:val="GIP titel Niv 3"/>
    <w:basedOn w:val="GIPtitelNiv2"/>
    <w:qFormat/>
    <w:rsid w:val="00263A18"/>
    <w:rPr>
      <w:sz w:val="28"/>
    </w:rPr>
  </w:style>
  <w:style w:type="paragraph" w:customStyle="1" w:styleId="GIPstandaard">
    <w:name w:val="GIP standaard"/>
    <w:basedOn w:val="GIPtitelNiv3"/>
    <w:uiPriority w:val="99"/>
    <w:qFormat/>
    <w:rsid w:val="00263A18"/>
    <w:rPr>
      <w:b w:val="0"/>
      <w:sz w:val="24"/>
    </w:rPr>
  </w:style>
  <w:style w:type="paragraph" w:styleId="Voetnoottekst">
    <w:name w:val="footnote text"/>
    <w:basedOn w:val="Standaard"/>
    <w:link w:val="VoetnoottekstChar"/>
    <w:uiPriority w:val="99"/>
    <w:semiHidden/>
    <w:unhideWhenUsed/>
    <w:rsid w:val="00263A1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3A18"/>
    <w:rPr>
      <w:rFonts w:eastAsiaTheme="minorEastAsia"/>
      <w:sz w:val="20"/>
      <w:szCs w:val="20"/>
      <w:lang w:val="nl-NL" w:eastAsia="nl-NL"/>
    </w:rPr>
  </w:style>
  <w:style w:type="character" w:styleId="Voetnootmarkering">
    <w:name w:val="footnote reference"/>
    <w:basedOn w:val="Standaardalinea-lettertype"/>
    <w:uiPriority w:val="99"/>
    <w:semiHidden/>
    <w:unhideWhenUsed/>
    <w:rsid w:val="00263A18"/>
    <w:rPr>
      <w:vertAlign w:val="superscript"/>
    </w:rPr>
  </w:style>
  <w:style w:type="table" w:styleId="Tabelraster">
    <w:name w:val="Table Grid"/>
    <w:basedOn w:val="Standaardtabel"/>
    <w:uiPriority w:val="59"/>
    <w:rsid w:val="00263A18"/>
    <w:pPr>
      <w:spacing w:after="0" w:line="240" w:lineRule="auto"/>
    </w:pPr>
    <w:rPr>
      <w:rFonts w:eastAsiaTheme="minorEastAsia"/>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263A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3A18"/>
    <w:rPr>
      <w:rFonts w:ascii="Tahoma" w:eastAsiaTheme="minorEastAsi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2612</Words>
  <Characters>14372</Characters>
  <Application>Microsoft Office Word</Application>
  <DocSecurity>0</DocSecurity>
  <Lines>119</Lines>
  <Paragraphs>33</Paragraphs>
  <ScaleCrop>false</ScaleCrop>
  <Company/>
  <LinksUpToDate>false</LinksUpToDate>
  <CharactersWithSpaces>16951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dc:creator>
  <cp:lastModifiedBy>Lot</cp:lastModifiedBy>
  <cp:revision>1</cp:revision>
  <dcterms:created xsi:type="dcterms:W3CDTF">2014-03-02T19:21:00Z</dcterms:created>
  <dcterms:modified xsi:type="dcterms:W3CDTF">2014-03-02T19:22:00Z</dcterms:modified>
</cp:coreProperties>
</file>